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MagicBox Contractor Modernization Workbook</w:t>
            </w:r>
          </w:p>
        </w:tc>
      </w:tr>
    </w:tbl>
    <w:p>
      <w:r>
        <w:rPr>
          <w:b/>
          <w:color w:val="1F6B75"/>
          <w:sz w:val="26"/>
        </w:rPr>
        <w:t>MagicBox Contractor Modernization</w:t>
      </w:r>
    </w:p>
    <w:p>
      <w:r>
        <w:rPr>
          <w:b w:val="0"/>
          <w:color w:val="111827"/>
          <w:sz w:val="20"/>
        </w:rPr>
        <w:t>Guidance for transitioning to cost-effective contractor management models.</w:t>
      </w:r>
    </w:p>
    <w:p>
      <w:r>
        <w:rPr>
          <w:b w:val="0"/>
          <w:color w:val="6B7280"/>
          <w:sz w:val="18"/>
        </w:rPr>
        <w:t>Run 20260513_113202_696a41df  ·  Generated 2026-05-13T11:32:54.199888+00:00  ·  Repo app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An overview of the modernization objectives and strategic approach.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The objective is to modernize the contractor management system by transitioning to more cost-effective models while ensuring no code edits are in progress during the transition.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Phased UI Migration recommended.</w:t>
      </w:r>
    </w:p>
    <w:p>
      <w:r>
        <w:rPr>
          <w:b w:val="0"/>
          <w:color w:val="111827"/>
          <w:sz w:val="20"/>
        </w:rPr>
        <w:t>The MagicBox Contractor Modernization project aims to upgrade the contractor management system by adopting more cost-effective models. This transition is crucial to maintaining operational efficiency while ensuring that no code edits are in progress during the shift. The phased UI migration strategy allows for a gradual transition, preserving existing functionality and minimizing risks. The readiness score of 40 and high-risk tier indicate the need for careful planning and execution. This workbook provides a comprehensive guide to navigating the modernization process, including dependency mapping, form dossiers, and risk assessments.</w:t>
      </w:r>
    </w:p>
    <w:p>
      <w:pPr>
        <w:pStyle w:val="ListParagraph"/>
      </w:pPr>
      <w:r>
        <w:rPr>
          <w:b w:val="0"/>
          <w:color w:val="111827"/>
          <w:sz w:val="18"/>
        </w:rPr>
        <w:t>- Objective: Modernize contractor management with cost-effective models.</w:t>
      </w:r>
    </w:p>
    <w:p>
      <w:pPr>
        <w:pStyle w:val="ListParagraph"/>
      </w:pPr>
      <w:r>
        <w:rPr>
          <w:b w:val="0"/>
          <w:color w:val="111827"/>
          <w:sz w:val="18"/>
        </w:rPr>
        <w:t>- Ensure no code edits during transition.</w:t>
      </w:r>
    </w:p>
    <w:p>
      <w:pPr>
        <w:pStyle w:val="ListParagraph"/>
      </w:pPr>
      <w:r>
        <w:rPr>
          <w:b w:val="0"/>
          <w:color w:val="111827"/>
          <w:sz w:val="18"/>
        </w:rPr>
        <w:t>- Phased UI Migration strategy for gradual transition.</w:t>
      </w:r>
    </w:p>
    <w:p>
      <w:pPr>
        <w:pStyle w:val="ListParagraph"/>
      </w:pPr>
      <w:r>
        <w:rPr>
          <w:b w:val="0"/>
          <w:color w:val="111827"/>
          <w:sz w:val="18"/>
        </w:rPr>
        <w:t>- Readiness score: 40, Risk tier: high.</w:t>
      </w:r>
    </w:p>
    <w:p>
      <w:pPr>
        <w:pStyle w:val="ListParagraph"/>
      </w:pPr>
      <w:r>
        <w:rPr>
          <w:b w:val="0"/>
          <w:color w:val="111827"/>
          <w:sz w:val="18"/>
        </w:rPr>
        <w:t>- Focus on dependency mapping and risk assessment.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40/100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high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pPr>
        <w:ind w:left="115"/>
      </w:pPr>
      <w:r>
        <w:rPr>
          <w:b/>
          <w:color w:val="2E75B6"/>
          <w:sz w:val="18"/>
        </w:rPr>
        <w:t xml:space="preserve">Readiness Score: </w:t>
      </w:r>
      <w:r>
        <w:rPr>
          <w:b w:val="0"/>
          <w:color w:val="111827"/>
          <w:sz w:val="18"/>
        </w:rPr>
        <w:t>Current readiness score is 40, indicating significant preparation needed.</w:t>
      </w:r>
    </w:p>
    <w:p>
      <w:pPr>
        <w:ind w:left="115"/>
      </w:pPr>
      <w:r>
        <w:rPr>
          <w:b/>
          <w:color w:val="2E75B6"/>
          <w:sz w:val="18"/>
        </w:rPr>
        <w:t xml:space="preserve">Risk Tier: </w:t>
      </w:r>
      <w:r>
        <w:rPr>
          <w:b w:val="0"/>
          <w:color w:val="111827"/>
          <w:sz w:val="18"/>
        </w:rPr>
        <w:t>Project is classified as high risk, requiring careful management.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Phased UI Migration: </w:t>
      </w:r>
      <w:r>
        <w:rPr>
          <w:b w:val="0"/>
          <w:color w:val="111827"/>
          <w:sz w:val="20"/>
        </w:rPr>
        <w:t>Allows gradual transition to new models while preserving existing functionality.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Backlog grounded in discovered behavior (5 derived item(s), threshold 3).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1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Unresolved form references detected: Contractor Placement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Identify and manage dependencies to ensure smooth transition.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Detailed analysis of forms to be migrated and their dependencies.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BR-001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Contractor Placement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Presentation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workflow_orchestration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Placements must be approved before contractors can start.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Capture and analyze golden flows to maintain baseline outputs.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Ensure traceability of changes to maintain system integrity.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Outline of sprint plans for phased migration and testing.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Comprehensive risk assessment and mitigation strategies.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RISK-1</w:t>
            </w:r>
          </w:p>
        </w:tc>
        <w:tc>
          <w:tcPr>
            <w:tcW w:type="dxa" w:w="2520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Potential disruption to ongoing operations during migration.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Implement a phased migration strategy with thorough testing.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RISK-2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Compatibility issues with existing systems.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Ensure backward compatibility and conduct comprehensive testing.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artifact://legacy_inventory/1.0/art_legacy_inventory_5c2ecf57ea524199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artifact://repo_landscape/1.0/art_repo_landscape_eb60c69c51dc46c5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artifact://scope_lock/1.0/art_scope_lock_c9f95d6bf3da48b2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artifact://variant_inventory/1.0/art_variant_inventory_f55394261b24492d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artifact://event_map/1.0/art_event_map_7c1e3f89eb4a4778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artifact://sql_catalog/1.0/art_sql_catalog_e2ea458a09334088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artifact://sql_map/1.0/art_sql_map_328cbfdc46d942b7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artifact://data_access_map/1.0/art_data_access_map_c0af61854d074d2f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artifact://recordset_ops/1.0/art_recordset_ops_459c968fe96a4362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artifact://procedure_summary/1.0/art_procedure_summary_c32659725aae49a6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artifact://form_dossier/1.0/art_form_dossier_8d63f67aeb8b4074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artifact://dependency_inventory/1.0/art_dependency_inventory_2ff09435b5dd4758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artifact://dependency_inventory/1.0/art_dependency_inventory_2ff09435b5dd4758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artifact://business_rule_catalog/1.0/art_business_rule_catalog_30b93feefea94121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artifact://detector_findings/1.0/art_detector_findings_7f5d9c89c18b4f51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artifact://risk_register/1.0/art_risk_register_4feb6b43537546e1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artifact://orphan_analysis/1.0/art_orphan_analysis_37f96f5a133f4848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artifact://delivery_constitution/1.0/art_delivery_constitution_23b55effab974f3c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artifact://variant_diff_report/1.0/art_variant_diff_report_bfcc2af5a82f4ff0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artifact://reporting_model/1.0/art_reporting_model_77a53fea424c4303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artifact://identity_access_model/1.0/art_identity_access_model_096857eee087411a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artifact://discover_review_checklist/1.0/art_discover_review_checklist_70b41d7c412346c2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artifact://artifact_index/1.0/art_artifact_index_afda334e213c4507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runctx://runctx-f871d218b1f2e96f/kctx-9902e42d32f8c0bb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runctx://runctx-f871d218b1f2e96f/delivery_constitution/const-093446e3c117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