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Translator Modernization Workbook</w:t>
            </w:r>
          </w:p>
        </w:tc>
      </w:tr>
    </w:tbl>
    <w:p>
      <w:r>
        <w:rPr>
          <w:b/>
          <w:color w:val="1F6B75"/>
          <w:sz w:val="26"/>
        </w:rPr>
        <w:t>MagicBox Translator Modernization</w:t>
      </w:r>
    </w:p>
    <w:p>
      <w:r>
        <w:rPr>
          <w:b w:val="0"/>
          <w:color w:val="111827"/>
          <w:sz w:val="20"/>
        </w:rPr>
        <w:t>A comprehensive guide to modernizing the MagicBox Translator system with a focus on efficiency and reliability.</w:t>
      </w:r>
    </w:p>
    <w:p>
      <w:r>
        <w:rPr>
          <w:b w:val="0"/>
          <w:color w:val="6B7280"/>
          <w:sz w:val="18"/>
        </w:rPr>
        <w:t>Run 20260513_191035_1fa0cddd  ·  Generated 2026-05-13T19:11:15.937330+00:00  ·  Repo app</w:t>
      </w:r>
    </w:p>
    <w:p/>
    <w:p>
      <w:pPr>
        <w:pStyle w:val="Heading1"/>
      </w:pPr>
      <w:r>
        <w:t>Executive Snapshot</w:t>
      </w:r>
    </w:p>
    <w:p>
      <w:r>
        <w:rPr>
          <w:b w:val="0"/>
          <w:color w:val="6B7280"/>
          <w:sz w:val="18"/>
        </w:rPr>
        <w:t>Overview of the modernization project, highlighting key objectives and strategic approach.</w:t>
      </w:r>
    </w:p>
    <w:p>
      <w:r>
        <w:rPr>
          <w:b/>
          <w:color w:val="2E75B6"/>
          <w:sz w:val="20"/>
        </w:rPr>
        <w:t xml:space="preserve">Objective: </w:t>
      </w:r>
      <w:r>
        <w:rPr>
          <w:b w:val="0"/>
          <w:color w:val="111827"/>
          <w:sz w:val="20"/>
        </w:rPr>
        <w:t>The objective is to validate the end-to-end process of a translator system focusing on morning payload processing, caching mechanisms, DTO auto-population, and a specific function or module referred to as 'doctor H11'.</w:t>
      </w:r>
    </w:p>
    <w:p>
      <w:r>
        <w:rPr>
          <w:b/>
          <w:color w:val="2E75B6"/>
          <w:sz w:val="20"/>
        </w:rPr>
        <w:t xml:space="preserve">Summary: </w:t>
      </w:r>
      <w:r>
        <w:rPr>
          <w:b w:val="0"/>
          <w:color w:val="111827"/>
          <w:sz w:val="20"/>
        </w:rPr>
        <w:t>Strangler Fig Pattern recommended.</w:t>
      </w:r>
    </w:p>
    <w:p>
      <w:r>
        <w:rPr>
          <w:b w:val="0"/>
          <w:color w:val="111827"/>
          <w:sz w:val="20"/>
        </w:rPr>
        <w:t>The MagicBox Translator Modernization project aims to validate the end-to-end process of the translator system. Key areas of focus include morning payload processing, caching mechanisms, DTO auto-population, and the 'doctor H11' module. Utilizing the Strangler Fig Pattern, the strategy involves gradual replacement of legacy components, ensuring minimal disruption and enhanced system capabilities. The project is structured into phases: establishing baselines, incremental migration, and final hardening, each with specific outcomes and exit criteria.</w:t>
      </w:r>
    </w:p>
    <w:p>
      <w:pPr>
        <w:pStyle w:val="ListParagraph"/>
      </w:pPr>
      <w:r>
        <w:rPr>
          <w:b w:val="0"/>
          <w:color w:val="111827"/>
          <w:sz w:val="18"/>
        </w:rPr>
        <w:t>- Validate end-to-end translator system processes.</w:t>
      </w:r>
    </w:p>
    <w:p>
      <w:pPr>
        <w:pStyle w:val="ListParagraph"/>
      </w:pPr>
      <w:r>
        <w:rPr>
          <w:b w:val="0"/>
          <w:color w:val="111827"/>
          <w:sz w:val="18"/>
        </w:rPr>
        <w:t>- Focus on morning payload processing and caching.</w:t>
      </w:r>
    </w:p>
    <w:p>
      <w:pPr>
        <w:pStyle w:val="ListParagraph"/>
      </w:pPr>
      <w:r>
        <w:rPr>
          <w:b w:val="0"/>
          <w:color w:val="111827"/>
          <w:sz w:val="18"/>
        </w:rPr>
        <w:t>- Utilize Strangler Fig Pattern for modernization.</w:t>
      </w:r>
    </w:p>
    <w:p>
      <w:pPr>
        <w:pStyle w:val="ListParagraph"/>
      </w:pPr>
      <w:r>
        <w:rPr>
          <w:b w:val="0"/>
          <w:color w:val="111827"/>
          <w:sz w:val="18"/>
        </w:rPr>
        <w:t>- Phased approach: baseline, migration, hardening.</w:t>
      </w:r>
    </w:p>
    <w:p>
      <w:pPr>
        <w:pStyle w:val="ListParagraph"/>
      </w:pPr>
      <w:r>
        <w:rPr>
          <w:b w:val="0"/>
          <w:color w:val="111827"/>
          <w:sz w:val="18"/>
        </w:rPr>
        <w:t>- High-risk tier with readiness score of zero.</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High-risk tier identified; readiness score is zero.</w:t>
      </w:r>
    </w:p>
    <w:p>
      <w:pPr>
        <w:pStyle w:val="Heading2"/>
      </w:pPr>
      <w:r>
        <w:t>Recommended Modernization Strategy</w:t>
      </w:r>
    </w:p>
    <w:p>
      <w:r>
        <w:rPr>
          <w:b/>
          <w:color w:val="1F6B75"/>
          <w:sz w:val="20"/>
        </w:rPr>
        <w:t xml:space="preserve">Strangler Fig Pattern: </w:t>
      </w:r>
      <w:r>
        <w:rPr>
          <w:b w:val="0"/>
          <w:color w:val="111827"/>
          <w:sz w:val="20"/>
        </w:rPr>
        <w:t>Allows for gradual replacement of legacy components with modern equivalents.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2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Finance &amp; Payroll,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map current dependencies to facilitate targeted modernization efforts.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for migration readiness.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formula</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Business behavior is enforced through data and calculation logic.</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Staffing &amp; Recruitment</w:t>
            </w:r>
          </w:p>
        </w:tc>
        <w:tc>
          <w:tcPr>
            <w:tcW w:type="dxa" w:w="1680"/>
            <w:shd w:val="clear" w:color="auto" w:fill="F3F4F6"/>
          </w:tcPr>
          <w:p>
            <w:r/>
            <w:r>
              <w:rPr>
                <w:b w:val="0"/>
                <w:color w:val="111827"/>
                <w:sz w:val="16"/>
              </w:rPr>
              <w:t>Presentation</w:t>
            </w:r>
          </w:p>
        </w:tc>
        <w:tc>
          <w:tcPr>
            <w:tcW w:type="dxa" w:w="1680"/>
            <w:shd w:val="clear" w:color="auto" w:fill="F3F4F6"/>
          </w:tcPr>
          <w:p>
            <w:r/>
            <w:r>
              <w:rPr>
                <w:b w:val="0"/>
                <w:color w:val="111827"/>
                <w:sz w:val="16"/>
              </w:rPr>
              <w:t>workflow_orchestration</w:t>
            </w:r>
          </w:p>
        </w:tc>
        <w:tc>
          <w:tcPr>
            <w:tcW w:type="dxa" w:w="1680"/>
            <w:shd w:val="clear" w:color="auto" w:fill="F3F4F6"/>
          </w:tcPr>
          <w:p>
            <w:r/>
            <w:r>
              <w:rPr>
                <w:b w:val="0"/>
                <w:color w:val="111827"/>
                <w:sz w:val="16"/>
              </w:rPr>
              <w:t>Onboarding process follows an 8-step completion process.</w:t>
            </w:r>
          </w:p>
        </w:tc>
        <w:tc>
          <w:tcPr>
            <w:tcW w:type="dxa" w:w="1680"/>
            <w:shd w:val="clear" w:color="auto" w:fill="F3F4F6"/>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establish baselines.</w:t>
      </w:r>
    </w:p>
    <w:p>
      <w:r>
        <w:br w:type="page"/>
      </w:r>
    </w:p>
    <w:p>
      <w:pPr>
        <w:pStyle w:val="Heading1"/>
      </w:pPr>
      <w:r>
        <w:t>Section Q - Form Traceability Matrix</w:t>
      </w:r>
    </w:p>
    <w:p>
      <w:r>
        <w:rPr>
          <w:b w:val="0"/>
          <w:color w:val="6B7280"/>
          <w:sz w:val="18"/>
        </w:rPr>
        <w:t>Ensure traceability of changes and impacts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the sprint structure for phased implementation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 and document potential risks associated with the modernization efforts.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DTO auto-population.</w:t>
            </w:r>
          </w:p>
        </w:tc>
        <w:tc>
          <w:tcPr>
            <w:tcW w:type="dxa" w:w="2520"/>
          </w:tcPr>
          <w:p>
            <w:r/>
            <w:r>
              <w:rPr>
                <w:b w:val="0"/>
                <w:color w:val="111827"/>
                <w:sz w:val="16"/>
              </w:rPr>
              <w:t>Implement thorough testing and validation of DTOs.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Caching mechanism may introduce stale data issues.</w:t>
            </w:r>
          </w:p>
        </w:tc>
        <w:tc>
          <w:tcPr>
            <w:tcW w:type="dxa" w:w="2520"/>
            <w:shd w:val="clear" w:color="auto" w:fill="F3F4F6"/>
          </w:tcPr>
          <w:p>
            <w:r/>
            <w:r>
              <w:rPr>
                <w:b w:val="0"/>
                <w:color w:val="111827"/>
                <w:sz w:val="16"/>
              </w:rPr>
              <w:t>Implement cache invalidation strategies and monitoring.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artifact://legacy_inventory/1.0/art_legacy_inventory_af409619bbd9415a</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artifact://repo_landscape/1.0/art_repo_landscape_a4bc39c9329f4ddc</w:t>
            </w:r>
          </w:p>
        </w:tc>
      </w:tr>
      <w:tr>
        <w:tc>
          <w:tcPr>
            <w:tcW w:type="dxa" w:w="5040"/>
          </w:tcPr>
          <w:p>
            <w:r/>
            <w:r>
              <w:rPr>
                <w:b w:val="0"/>
                <w:color w:val="111827"/>
                <w:sz w:val="16"/>
              </w:rPr>
              <w:t>scope_lock_ref</w:t>
            </w:r>
          </w:p>
        </w:tc>
        <w:tc>
          <w:tcPr>
            <w:tcW w:type="dxa" w:w="5040"/>
          </w:tcPr>
          <w:p>
            <w:r/>
            <w:r>
              <w:rPr>
                <w:b w:val="0"/>
                <w:color w:val="111827"/>
                <w:sz w:val="16"/>
              </w:rPr>
              <w:t>artifact://scope_lock/1.0/art_scope_lock_eb3b21c9cfc7466d</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artifact://variant_inventory/1.0/art_variant_inventory_91ea5ddf11294201</w:t>
            </w:r>
          </w:p>
        </w:tc>
      </w:tr>
      <w:tr>
        <w:tc>
          <w:tcPr>
            <w:tcW w:type="dxa" w:w="5040"/>
          </w:tcPr>
          <w:p>
            <w:r/>
            <w:r>
              <w:rPr>
                <w:b w:val="0"/>
                <w:color w:val="111827"/>
                <w:sz w:val="16"/>
              </w:rPr>
              <w:t>event_map_ref</w:t>
            </w:r>
          </w:p>
        </w:tc>
        <w:tc>
          <w:tcPr>
            <w:tcW w:type="dxa" w:w="5040"/>
          </w:tcPr>
          <w:p>
            <w:r/>
            <w:r>
              <w:rPr>
                <w:b w:val="0"/>
                <w:color w:val="111827"/>
                <w:sz w:val="16"/>
              </w:rPr>
              <w:t>artifact://event_map/1.0/art_event_map_7fc6e1afacc1408c</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artifact://sql_catalog/1.0/art_sql_catalog_167ea245052847fa</w:t>
            </w:r>
          </w:p>
        </w:tc>
      </w:tr>
      <w:tr>
        <w:tc>
          <w:tcPr>
            <w:tcW w:type="dxa" w:w="5040"/>
          </w:tcPr>
          <w:p>
            <w:r/>
            <w:r>
              <w:rPr>
                <w:b w:val="0"/>
                <w:color w:val="111827"/>
                <w:sz w:val="16"/>
              </w:rPr>
              <w:t>sql_map_ref</w:t>
            </w:r>
          </w:p>
        </w:tc>
        <w:tc>
          <w:tcPr>
            <w:tcW w:type="dxa" w:w="5040"/>
          </w:tcPr>
          <w:p>
            <w:r/>
            <w:r>
              <w:rPr>
                <w:b w:val="0"/>
                <w:color w:val="111827"/>
                <w:sz w:val="16"/>
              </w:rPr>
              <w:t>artifact://sql_map/1.0/art_sql_map_da192574334841ef</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artifact://data_access_map/1.0/art_data_access_map_320d7863c0ea40fa</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artifact://recordset_ops/1.0/art_recordset_ops_3594c0454f334559</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artifact://procedure_summary/1.0/art_procedure_summary_ac4deef5d74247a9</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artifact://form_dossier/1.0/art_form_dossier_5bcd797f67144e7e</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artifact://dependency_inventory/1.0/art_dependency_inventory_4814fe663e2a4583</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artifact://dependency_inventory/1.0/art_dependency_inventory_4814fe663e2a4583</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artifact://business_rule_catalog/1.0/art_business_rule_catalog_8da26b4e89564231</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artifact://detector_findings/1.0/art_detector_findings_5d7f8e8b9a9f4976</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artifact://risk_register/1.0/art_risk_register_8e7c8c4618bc4e33</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artifact://orphan_analysis/1.0/art_orphan_analysis_aa591bf02e444783</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artifact://delivery_constitution/1.0/art_delivery_constitution_c2d7d1ba987a4676</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artifact://variant_diff_report/1.0/art_variant_diff_report_7e228c88b3e74da2</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artifact://reporting_model/1.0/art_reporting_model_e12cf4a4b63c42b6</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artifact://identity_access_model/1.0/art_identity_access_model_4a94b7cc28d648d7</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artifact://discover_review_checklist/1.0/art_discover_review_checklist_e87e5dacec0041e0</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artifact://artifact_index/1.0/art_artifact_index_5bd6fd471d964f3f</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runctx://runctx-51c51c21615180ab/kctx-9902e42d32f8c0bb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runctx://runctx-51c51c21615180ab/delivery_constitution/const-e33e0a52e562</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