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Modernization Workbook</w:t>
            </w:r>
          </w:p>
        </w:tc>
      </w:tr>
    </w:tbl>
    <w:p>
      <w:r>
        <w:rPr>
          <w:b/>
          <w:color w:val="1F6B75"/>
          <w:sz w:val="26"/>
        </w:rPr>
        <w:t>Magicbox Modernization</w:t>
      </w:r>
    </w:p>
    <w:p>
      <w:r>
        <w:rPr>
          <w:b w:val="0"/>
          <w:color w:val="111827"/>
          <w:sz w:val="20"/>
        </w:rPr>
        <w:t>A comprehensive guide to modernizing the Magicbox system with automated approvals and sealed module management.</w:t>
      </w:r>
    </w:p>
    <w:p>
      <w:r>
        <w:rPr>
          <w:b w:val="0"/>
          <w:color w:val="6B7280"/>
          <w:sz w:val="18"/>
        </w:rPr>
        <w:t>Run 20260512_192640_8fe153c7  ·  Generated 2026-05-12T19:27:22.195014+00:00  ·  Repo app</w:t>
      </w:r>
    </w:p>
    <w:p/>
    <w:p>
      <w:pPr>
        <w:pStyle w:val="Heading1"/>
      </w:pPr>
      <w:r>
        <w:t>Executive Snapshot</w:t>
      </w:r>
    </w:p>
    <w:p>
      <w:r>
        <w:rPr>
          <w:b w:val="0"/>
          <w:color w:val="6B7280"/>
          <w:sz w:val="18"/>
        </w:rPr>
        <w:t>An overview of the modernization strategy and its alignment with business objectives.</w:t>
      </w:r>
    </w:p>
    <w:p>
      <w:r>
        <w:rPr>
          <w:b/>
          <w:color w:val="2E75B6"/>
          <w:sz w:val="20"/>
        </w:rPr>
        <w:t xml:space="preserve">Objective: </w:t>
      </w:r>
      <w:r>
        <w:rPr>
          <w:b w:val="0"/>
          <w:color w:val="111827"/>
          <w:sz w:val="20"/>
        </w:rPr>
        <w:t>The objective is to ensure that the Magicbox system automatically approves developer actions and skips any modules that are marked as sealed.</w:t>
      </w:r>
    </w:p>
    <w:p>
      <w:r>
        <w:rPr>
          <w:b/>
          <w:color w:val="2E75B6"/>
          <w:sz w:val="20"/>
        </w:rPr>
        <w:t xml:space="preserve">Summary: </w:t>
      </w:r>
      <w:r>
        <w:rPr>
          <w:b w:val="0"/>
          <w:color w:val="111827"/>
          <w:sz w:val="20"/>
        </w:rPr>
        <w:t>Strangler Fig Pattern recommended.</w:t>
      </w:r>
    </w:p>
    <w:p>
      <w:r>
        <w:rPr>
          <w:b w:val="0"/>
          <w:color w:val="111827"/>
          <w:sz w:val="20"/>
        </w:rPr>
        <w:t>The Magicbox Modernization project aims to enhance the system by automating developer actions and bypassing sealed modules. Utilizing the Strangler Fig Pattern, the project will gradually replace legacy components while ensuring system functionality. The strategy involves three phases: establishing baselines, migrating dependencies, and finalizing quality gates. Despite a high-risk tier and zero readiness score, the project is poised for success through meticulous planning and execution.</w:t>
      </w:r>
    </w:p>
    <w:p>
      <w:pPr>
        <w:pStyle w:val="ListParagraph"/>
      </w:pPr>
      <w:r>
        <w:rPr>
          <w:b w:val="0"/>
          <w:color w:val="111827"/>
          <w:sz w:val="18"/>
        </w:rPr>
        <w:t>- Objective: Automate approvals and skip sealed modules.</w:t>
      </w:r>
    </w:p>
    <w:p>
      <w:pPr>
        <w:pStyle w:val="ListParagraph"/>
      </w:pPr>
      <w:r>
        <w:rPr>
          <w:b w:val="0"/>
          <w:color w:val="111827"/>
          <w:sz w:val="18"/>
        </w:rPr>
        <w:t>- Strategy: Strangler Fig Pattern for gradual replacement.</w:t>
      </w:r>
    </w:p>
    <w:p>
      <w:pPr>
        <w:pStyle w:val="ListParagraph"/>
      </w:pPr>
      <w:r>
        <w:rPr>
          <w:b w:val="0"/>
          <w:color w:val="111827"/>
          <w:sz w:val="18"/>
        </w:rPr>
        <w:t>- Phases: Baseline, Migration, Hardening.</w:t>
      </w:r>
    </w:p>
    <w:p>
      <w:pPr>
        <w:pStyle w:val="ListParagraph"/>
      </w:pPr>
      <w:r>
        <w:rPr>
          <w:b w:val="0"/>
          <w:color w:val="111827"/>
          <w:sz w:val="18"/>
        </w:rPr>
        <w:t>- Risk Tier: High, Readiness Score: 0.</w:t>
      </w:r>
    </w:p>
    <w:p>
      <w:pPr>
        <w:pStyle w:val="ListParagraph"/>
      </w:pPr>
      <w:r>
        <w:rPr>
          <w:b w:val="0"/>
          <w:color w:val="111827"/>
          <w:sz w:val="18"/>
        </w:rPr>
        <w:t>- No current inventory of projects, forms, or dependencies.</w:t>
      </w:r>
    </w:p>
    <w:p>
      <w:pPr>
        <w:pStyle w:val="ListParagraph"/>
      </w:pPr>
      <w:r>
        <w:rPr>
          <w:b w:val="0"/>
          <w:color w:val="111827"/>
          <w:sz w:val="18"/>
        </w:rPr>
        <w:t>- Focus on maintaining system functionality throughout.</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w:t>
      </w:r>
      <w:r>
        <w:rPr>
          <w:b w:val="0"/>
          <w:color w:val="111827"/>
          <w:sz w:val="18"/>
        </w:rPr>
        <w:t>High risk tier requires careful monitoring and mitigation.</w:t>
      </w:r>
    </w:p>
    <w:p>
      <w:pPr>
        <w:pStyle w:val="Heading2"/>
      </w:pPr>
      <w:r>
        <w:t>Recommended Modernization Strategy</w:t>
      </w:r>
    </w:p>
    <w:p>
      <w:r>
        <w:rPr>
          <w:b/>
          <w:color w:val="1F6B75"/>
          <w:sz w:val="20"/>
        </w:rPr>
        <w:t xml:space="preserve">Strangler Fig Pattern: </w:t>
      </w:r>
      <w:r>
        <w:rPr>
          <w:b w:val="0"/>
          <w:color w:val="111827"/>
          <w:sz w:val="20"/>
        </w:rPr>
        <w:t>Allows gradual replacement of legacy components while maintaining system functionality.</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(10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Approval process</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dependencies to identify and manage risks during migration.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dossiers on forms to guide the migration process.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Approval process</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Developer actions are auto-approved unless specified otherwise.</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Capturing and analyzing golden flows to ensure baseline accuracy.</w:t>
      </w:r>
    </w:p>
    <w:p>
      <w:r>
        <w:br w:type="page"/>
      </w:r>
    </w:p>
    <w:p>
      <w:pPr>
        <w:pStyle w:val="Heading1"/>
      </w:pPr>
      <w:r>
        <w:t>Section Q - Form Traceability Matrix</w:t>
      </w:r>
    </w:p>
    <w:p>
      <w:r>
        <w:rPr>
          <w:b w:val="0"/>
          <w:color w:val="6B7280"/>
          <w:sz w:val="18"/>
        </w:rPr>
        <w:t>Ensuring traceability of changes to maintain system integrity.</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Organizing work into sprints for efficient execution and tracking.</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Identifying and mitigating risks associated with the modernization effort.</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Incorrect identification of sealed modules could lead to processing errors.</w:t>
            </w:r>
          </w:p>
        </w:tc>
        <w:tc>
          <w:tcPr>
            <w:tcW w:type="dxa" w:w="2520"/>
          </w:tcPr>
          <w:p>
            <w:r/>
            <w:r>
              <w:rPr>
                <w:b w:val="0"/>
                <w:color w:val="111827"/>
                <w:sz w:val="16"/>
              </w:rPr>
              <w:t>Implement thorough testing and validation of module identification logic.</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Automated approval process might bypass necessary manual checks.</w:t>
            </w:r>
          </w:p>
        </w:tc>
        <w:tc>
          <w:tcPr>
            <w:tcW w:type="dxa" w:w="2520"/>
            <w:shd w:val="clear" w:color="auto" w:fill="F3F4F6"/>
          </w:tcPr>
          <w:p>
            <w:r/>
            <w:r>
              <w:rPr>
                <w:b w:val="0"/>
                <w:color w:val="111827"/>
                <w:sz w:val="16"/>
              </w:rPr>
              <w:t>Define clear criteria for actions that require manual approval.</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artifact://legacy_inventory/1.0/art_legacy_inventory_99c7ca7dbf404feb</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artifact://repo_landscape/1.0/art_repo_landscape_d9804a2ca4a14716</w:t>
            </w:r>
          </w:p>
        </w:tc>
      </w:tr>
      <w:tr>
        <w:tc>
          <w:tcPr>
            <w:tcW w:type="dxa" w:w="5040"/>
          </w:tcPr>
          <w:p>
            <w:r/>
            <w:r>
              <w:rPr>
                <w:b w:val="0"/>
                <w:color w:val="111827"/>
                <w:sz w:val="16"/>
              </w:rPr>
              <w:t>scope_lock_ref</w:t>
            </w:r>
          </w:p>
        </w:tc>
        <w:tc>
          <w:tcPr>
            <w:tcW w:type="dxa" w:w="5040"/>
          </w:tcPr>
          <w:p>
            <w:r/>
            <w:r>
              <w:rPr>
                <w:b w:val="0"/>
                <w:color w:val="111827"/>
                <w:sz w:val="16"/>
              </w:rPr>
              <w:t>artifact://scope_lock/1.0/art_scope_lock_2a43803ac9274f1c</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artifact://variant_inventory/1.0/art_variant_inventory_a1c81768ecf84f42</w:t>
            </w:r>
          </w:p>
        </w:tc>
      </w:tr>
      <w:tr>
        <w:tc>
          <w:tcPr>
            <w:tcW w:type="dxa" w:w="5040"/>
          </w:tcPr>
          <w:p>
            <w:r/>
            <w:r>
              <w:rPr>
                <w:b w:val="0"/>
                <w:color w:val="111827"/>
                <w:sz w:val="16"/>
              </w:rPr>
              <w:t>event_map_ref</w:t>
            </w:r>
          </w:p>
        </w:tc>
        <w:tc>
          <w:tcPr>
            <w:tcW w:type="dxa" w:w="5040"/>
          </w:tcPr>
          <w:p>
            <w:r/>
            <w:r>
              <w:rPr>
                <w:b w:val="0"/>
                <w:color w:val="111827"/>
                <w:sz w:val="16"/>
              </w:rPr>
              <w:t>artifact://event_map/1.0/art_event_map_ded8f6e0da154d3d</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artifact://sql_catalog/1.0/art_sql_catalog_4bfc8b33a4794223</w:t>
            </w:r>
          </w:p>
        </w:tc>
      </w:tr>
      <w:tr>
        <w:tc>
          <w:tcPr>
            <w:tcW w:type="dxa" w:w="5040"/>
          </w:tcPr>
          <w:p>
            <w:r/>
            <w:r>
              <w:rPr>
                <w:b w:val="0"/>
                <w:color w:val="111827"/>
                <w:sz w:val="16"/>
              </w:rPr>
              <w:t>sql_map_ref</w:t>
            </w:r>
          </w:p>
        </w:tc>
        <w:tc>
          <w:tcPr>
            <w:tcW w:type="dxa" w:w="5040"/>
          </w:tcPr>
          <w:p>
            <w:r/>
            <w:r>
              <w:rPr>
                <w:b w:val="0"/>
                <w:color w:val="111827"/>
                <w:sz w:val="16"/>
              </w:rPr>
              <w:t>artifact://sql_map/1.0/art_sql_map_484e352a0a504190</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artifact://data_access_map/1.0/art_data_access_map_df5fd030f2f74ac7</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artifact://recordset_ops/1.0/art_recordset_ops_f78e700e3482406a</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artifact://procedure_summary/1.0/art_procedure_summary_aa75abc8fe5b4251</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artifact://form_dossier/1.0/art_form_dossier_3681a6f0c33b4d0f</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artifact://dependency_inventory/1.0/art_dependency_inventory_6e4da14b766c4b8a</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artifact://dependency_inventory/1.0/art_dependency_inventory_6e4da14b766c4b8a</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artifact://business_rule_catalog/1.0/art_business_rule_catalog_972107d5de0a4a82</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artifact://detector_findings/1.0/art_detector_findings_cd23e4a1d0fa479c</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artifact://risk_register/1.0/art_risk_register_a7f5e7b53e794e3a</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artifact://orphan_analysis/1.0/art_orphan_analysis_ff71d73e987c40d6</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artifact://delivery_constitution/1.0/art_delivery_constitution_dc8657d0513942ff</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artifact://variant_diff_report/1.0/art_variant_diff_report_9c5e0403e6b84323</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artifact://reporting_model/1.0/art_reporting_model_143b1b87821542bd</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artifact://identity_access_model/1.0/art_identity_access_model_64625d0f7d0e4b77</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artifact://discover_review_checklist/1.0/art_discover_review_checklist_f57e5ea109094fb8</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artifact://artifact_index/1.0/art_artifact_index_4a3ccfb741f34ea9</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runctx://runctx-fca5fe3ee6190f8b/kctx-9902e42d32f8c0bb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runctx://runctx-fca5fe3ee6190f8b/delivery_constitution/const-50aa007733ef</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