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Contractor Increment Modernization Workbook</w:t>
            </w:r>
          </w:p>
        </w:tc>
      </w:tr>
    </w:tbl>
    <w:p>
      <w:r>
        <w:rPr>
          <w:b/>
          <w:color w:val="1F6B75"/>
          <w:sz w:val="26"/>
        </w:rPr>
        <w:t>MagicBox Contractor Increment Modernization</w:t>
      </w:r>
    </w:p>
    <w:p>
      <w:r>
        <w:rPr>
          <w:b w:val="0"/>
          <w:color w:val="111827"/>
          <w:sz w:val="20"/>
        </w:rPr>
        <w:t>A comprehensive guide to modernizing contractor increment processes with minimal disruption.</w:t>
      </w:r>
    </w:p>
    <w:p>
      <w:r>
        <w:rPr>
          <w:b w:val="0"/>
          <w:color w:val="6B7280"/>
          <w:sz w:val="18"/>
        </w:rPr>
        <w:t>Run 20260512_201030_857cff1e  ·  Generated 2026-05-12T20:11:03.518866+00:00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modernization objectives, strategy, and current readiness.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Ensure that the contractor increment process includes a filter that propagates correctly and that the overlay remains audit-only.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Pattern recommended.</w:t>
      </w:r>
    </w:p>
    <w:p>
      <w:r>
        <w:rPr>
          <w:b w:val="0"/>
          <w:color w:val="111827"/>
          <w:sz w:val="20"/>
        </w:rPr>
        <w:t>The MagicBox Contractor Increment Modernization project aims to ensure that the contractor increment process includes a filter that propagates correctly and that the overlay remains audit-only. Utilizing the Strangler Pattern strategy, the project will gradually replace legacy components, minimizing disruption. The modernization process is divided into three phases: Baseline and equivalence harness, Incremental migration and dependency replacement, and Hardening and release evidence. Each phase is designed to address specific objectives and exit criteria, ensuring a smooth transition and robust modernization.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Ensure correct filter propagation and audit-only overlay.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Pattern for minimal disruption.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readiness score of 0.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dependencies.</w:t>
      </w:r>
    </w:p>
    <w:p>
      <w:pPr>
        <w:pStyle w:val="ListParagraph"/>
      </w:pPr>
      <w:r>
        <w:rPr>
          <w:b w:val="0"/>
          <w:color w:val="111827"/>
          <w:sz w:val="18"/>
        </w:rPr>
        <w:t>- Focus on gradual legacy component replacement.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 Tier: </w:t>
      </w:r>
      <w:r>
        <w:rPr>
          <w:b w:val="0"/>
          <w:color w:val="111827"/>
          <w:sz w:val="18"/>
        </w:rPr>
        <w:t>The project is classified as high risk.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Pattern: </w:t>
      </w:r>
      <w:r>
        <w:rPr>
          <w:b w:val="0"/>
          <w:color w:val="111827"/>
          <w:sz w:val="20"/>
        </w:rPr>
        <w:t>Allows gradual replacement of legacy components with minimal disruption.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(6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out dependencies to ensure seamless integration and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dossiers on forms to be migrated and their current status.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placements must be approved by a co-approver before activation.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Capturing and analyzing golden flows to establish baselines.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throughout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Organizing work into sprints for efficient progress tracking.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Identifying and mitigating risks associated with the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disruption to existing workflows during integration.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integration testing and stakeholder reviews.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Security vulnerabilities in the overlay functionality.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 security audits and implement necessary fixes.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artifact://legacy_inventory/1.0/art_legacy_inventory_4670211dc6714aaf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artifact://repo_landscape/1.0/art_repo_landscape_53af015f90bb4010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artifact://scope_lock/1.0/art_scope_lock_0d34b87eb9be4f4a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artifact://variant_inventory/1.0/art_variant_inventory_7e2acc43d30d45eb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artifact://event_map/1.0/art_event_map_94cca8f804124cb1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artifact://sql_catalog/1.0/art_sql_catalog_2f337ede70fe4d57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artifact://sql_map/1.0/art_sql_map_3eaacf903df346e4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artifact://data_access_map/1.0/art_data_access_map_d55783489f6240f4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artifact://recordset_ops/1.0/art_recordset_ops_f0d26a1683df42e3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artifact://procedure_summary/1.0/art_procedure_summary_777e09eeae8b41f6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artifact://form_dossier/1.0/art_form_dossier_f707577a0d4e48dd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artifact://dependency_inventory/1.0/art_dependency_inventory_c9dc630b1ddc4a9d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artifact://dependency_inventory/1.0/art_dependency_inventory_c9dc630b1ddc4a9d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artifact://business_rule_catalog/1.0/art_business_rule_catalog_8a5b90a4f6ef4224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artifact://detector_findings/1.0/art_detector_findings_918aba6e44c44cf4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artifact://risk_register/1.0/art_risk_register_9c4de856d3da4f36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artifact://orphan_analysis/1.0/art_orphan_analysis_e590d6ccd1354abe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artifact://delivery_constitution/1.0/art_delivery_constitution_a531f984bbb84d9e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artifact://variant_diff_report/1.0/art_variant_diff_report_c8c0a26aff4c4339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artifact://reporting_model/1.0/art_reporting_model_a397d67db07a4bfe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artifact://identity_access_model/1.0/art_identity_access_model_0959776e924249bc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artifact://discover_review_checklist/1.0/art_discover_review_checklist_aa6d67486c5e4ce7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artifact://artifact_index/1.0/art_artifact_index_15c2c8e295374bf1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runctx://runctx-871f6394b025ca2d/kctx-9902e42d32f8c0bb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runctx://runctx-871f6394b025ca2d/delivery_constitution/const-0813c6824952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