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MagicBox Contractor Management Modernization — VB6 Modernization BRD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1B7A8C"/>
          <w:sz w:val="40"/>
          <w:szCs w:val="40"/>
        </w:rPr>
        <w:t xml:space="preserve">Business Analyst Brief</w:t>
      </w:r>
    </w:p>
    <w:p>
      <w:pPr>
        <w:pBdr>
          <w:bottom w:val="single" w:color="1B7A8C" w:sz="10" w:space="4"/>
        </w:pBdr>
        <w:spacing w:after="4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Synthetix AI Analysis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B5563"/>
          <w:sz w:val="20"/>
          <w:szCs w:val="20"/>
        </w:rPr>
        <w:t xml:space="preserve">Generated: 2026-05-13   ·   Repo: </w:t>
      </w:r>
    </w:p>
    <w:p>
      <w:pPr>
        <w:spacing w:after="0" w:before="160"/>
        <w:jc w:val="center"/>
      </w:pPr>
      <w:r>
        <w:rPr>
          <w:rFonts w:ascii="Arial" w:cs="Arial" w:eastAsia="Arial" w:hAnsi="Arial"/>
          <w:b/>
          <w:bCs/>
          <w:color w:val="B45309"/>
          <w:sz w:val="20"/>
          <w:szCs w:val="20"/>
        </w:rPr>
        <w:t xml:space="preserve">Confidential — BA Use Only</w:t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Executive Snapshot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Active Forms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 Level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 Coverage Score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8"/>
                <w:szCs w:val="28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LOW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4"/>
                <w:szCs w:val="24"/>
              </w:rPr>
              <w:t xml:space="preserve">0 / 100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Summary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80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Modernization Readiness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0/100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Risk Tier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Inventory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0 project(s), 0 forms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3864"/>
                <w:sz w:val="18"/>
                <w:szCs w:val="18"/>
              </w:rPr>
              <w:t xml:space="preserve">Recommended Strategy</w:t>
            </w:r>
          </w:p>
        </w:tc>
        <w:tc>
          <w:tcPr>
            <w:tcW w:type="dxa" w:w="8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Phased UI migration recommended.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Decisions Required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The following decisions are needed before migration can proceed. Each is a current blocker for sprint planning.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5540"/>
        <w:gridCol w:w="2100"/>
      </w:tblGrid>
      <w:tr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</w:t>
            </w:r>
          </w:p>
        </w:tc>
        <w:tc>
          <w:tcPr>
            <w:tcW w:type="dxa" w:w="55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Decision Required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if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Form Inventory — Business View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active forms across 0 project variants. Inputs show the data fields a user enters. Outputs describe the business effect when the form action completes.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2400"/>
        <w:gridCol w:w="2300"/>
        <w:gridCol w:w="244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23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Inputs (data fields)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Outputs (business effect)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K1 — Excluded / Unresolved Forms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0 excluded or unresolved form files are listed here for completeness only. These items are not treated as first-class business scope in the BRD/BA package. They appear across 0 variant project entries where applicable.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4740"/>
        <w:gridCol w:w="2400"/>
      </w:tblGrid>
      <w:tr>
        <w:tc>
          <w:tcPr>
            <w:tcW w:type="dxa" w:w="22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Name</w:t>
            </w:r>
          </w:p>
        </w:tc>
        <w:tc>
          <w:tcPr>
            <w:tcW w:type="dxa" w:w="1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7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Found in Variants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4B556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Business Rules by Form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Rules are extracted from source code and translated into business language. Each rule is categorised by type and linked to any risk register entry where applicable.</w:t>
      </w:r>
    </w:p>
    <w:p>
      <w:pPr>
        <w:spacing w:after="8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Traceability Coverage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Each active form is scored across four dimensions: event map, SQL map, business rules, and risk register linkage. Score of 100 = fully covered. Score of 0 indicates no extracted traceability evidence for the current run; it should be reviewed as a coverage gap, not automatically interpreted as proof that the business flow does not exist.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0"/>
        <w:gridCol w:w="2610"/>
        <w:gridCol w:w="2610"/>
        <w:gridCol w:w="2610"/>
      </w:tblGrid>
      <w:tr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Complete (100)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B7A8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Near-complete (≥80)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Partial (40–79)</w:t>
            </w:r>
          </w:p>
        </w:tc>
        <w:tc>
          <w:tcPr>
            <w:tcW w:type="dxa" w:w="261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Discovery Gap (&lt;40)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7A8C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60"/>
        <w:gridCol w:w="820"/>
        <w:gridCol w:w="820"/>
        <w:gridCol w:w="820"/>
        <w:gridCol w:w="820"/>
        <w:gridCol w:w="380"/>
      </w:tblGrid>
      <w:tr>
        <w:tc>
          <w:tcPr>
            <w:tcW w:type="dxa" w:w="26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336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Project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SQL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Rules</w:t>
            </w:r>
          </w:p>
        </w:tc>
        <w:tc>
          <w:tcPr>
            <w:tcW w:type="dxa" w:w="82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3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Risk Register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All risks extracted by the analysis platform. High severity risks must be resolved before go-live.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800"/>
        <w:gridCol w:w="4640"/>
        <w:gridCol w:w="2100"/>
      </w:tblGrid>
      <w:tr>
        <w:tc>
          <w:tcPr>
            <w:tcW w:type="dxa" w:w="9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46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1B7A8C" w:sz="8" w:space="4"/>
        </w:pBdr>
        <w:spacing w:after="160" w:before="4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Appendix A. Delivery Sequencing</w:t>
      </w:r>
    </w:p>
    <w:p>
      <w:pPr>
        <w:spacing w:after="80" w:before="60"/>
      </w:pPr>
      <w:r>
        <w:rPr>
          <w:rFonts w:ascii="Arial" w:cs="Arial" w:eastAsia="Arial" w:hAnsi="Arial"/>
          <w:color w:val="2D2D2D"/>
          <w:sz w:val="19"/>
          <w:szCs w:val="19"/>
        </w:rPr>
        <w:t xml:space="preserve">Sprint sequencing is provided as a delivery appendix rather than core business scope. Sprint 0 = discovery closure required (0 forms). Sprint 1 = risk-first migration of core transactional forms. Sprint 2 = parity hardening. Shared Components must be built before any form that lists them can be migrated.</w:t>
      </w:r>
    </w:p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0"/>
        <w:gridCol w:w="3480"/>
        <w:gridCol w:w="3480"/>
      </w:tblGrid>
      <w:tr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9B1C1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0 — Discovery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1 — Risk-First</w:t>
            </w:r>
          </w:p>
        </w:tc>
        <w:tc>
          <w:tcPr>
            <w:tcW w:type="dxa" w:w="348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A734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 2 — Hardening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B1C1C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2"/>
                <w:szCs w:val="22"/>
              </w:rPr>
              <w:t xml:space="preserve">0 forms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7340"/>
                <w:sz w:val="22"/>
                <w:szCs w:val="22"/>
              </w:rPr>
              <w:t xml:space="preserve">0 forms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1800"/>
        <w:gridCol w:w="2400"/>
        <w:gridCol w:w="2440"/>
      </w:tblGrid>
      <w:tr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</w:t>
            </w:r>
          </w:p>
        </w:tc>
        <w:tc>
          <w:tcPr>
            <w:tcW w:type="dxa" w:w="1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Depends On</w:t>
            </w:r>
          </w:p>
        </w:tc>
        <w:tc>
          <w:tcPr>
            <w:tcW w:type="dxa" w:w="24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Shared Components</w:t>
            </w:r>
          </w:p>
        </w:tc>
        <w:tc>
          <w:tcPr>
            <w:tcW w:type="dxa" w:w="24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</w:tbl>
    <w:p>
      <w:r>
        <w:br w:type="page"/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tabs>
        <w:tab w:val="right" w:pos="10440"/>
      </w:tabs>
      <w:spacing w:before="80"/>
    </w:pPr>
    <w:r>
      <w:rPr>
        <w:rFonts w:ascii="Arial" w:cs="Arial" w:eastAsia="Arial" w:hAnsi="Arial"/>
        <w:color w:val="4B5563"/>
        <w:sz w:val="16"/>
        <w:szCs w:val="16"/>
      </w:rPr>
      <w:t xml:space="preserve">Confidential — BA Use Only</w:t>
    </w:r>
    <w:r>
      <w:t xml:space="preserve">	</w:t>
    </w:r>
    <w:r>
      <w:rPr>
        <w:rFonts w:ascii="Arial" w:cs="Arial" w:eastAsia="Arial" w:hAnsi="Arial"/>
        <w:color w:val="4B5563"/>
        <w:sz w:val="16"/>
        <w:szCs w:val="16"/>
      </w:rPr>
      <w:t xml:space="preserve">Page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of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tabs>
        <w:tab w:val="right" w:pos="10440"/>
      </w:tabs>
      <w:spacing w:after="8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Contractor Management Modernization — VB6 Modernization BRD — Business Analyst Brief</w:t>
    </w:r>
    <w:r>
      <w:t xml:space="preserve">	</w:t>
    </w:r>
    <w:r>
      <w:rPr>
        <w:rFonts w:ascii="Arial" w:cs="Arial" w:eastAsia="Arial" w:hAnsi="Arial"/>
        <w:color w:val="1B7A8C"/>
        <w:sz w:val="16"/>
        <w:szCs w:val="16"/>
      </w:rPr>
      <w:t xml:space="preserve">Synthetix AI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7A8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2026-05-13T16:28:13.705Z</dcterms:created>
  <dcterms:modified xsi:type="dcterms:W3CDTF">2026-05-13T16:28:13.705Z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