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Guidance for modernizing the codebase to enable MethodTranslatorSubAgent's capabilities.</w:t>
      </w:r>
    </w:p>
    <w:p>
      <w:r>
        <w:rPr>
          <w:b w:val="0"/>
          <w:color w:val="6B7280"/>
          <w:sz w:val="18"/>
        </w:rPr>
        <w:t>Run 20260512_220511_1b1d3dd4  ·  Generated 2026-05-12T22:05:56.132730+00:00  ·  Repo app</w:t>
      </w:r>
    </w:p>
    <w:p/>
    <w:p>
      <w:pPr>
        <w:pStyle w:val="Heading1"/>
      </w:pPr>
      <w:r>
        <w:t>Executive Snapshot</w:t>
      </w:r>
    </w:p>
    <w:p>
      <w:r>
        <w:rPr>
          <w:b w:val="0"/>
          <w:color w:val="6B7280"/>
          <w:sz w:val="18"/>
        </w:rPr>
        <w:t>An overview of the modernization strategy and its alignment with project objectives.</w:t>
      </w:r>
    </w:p>
    <w:p>
      <w:r>
        <w:rPr>
          <w:b/>
          <w:color w:val="2E75B6"/>
          <w:sz w:val="20"/>
        </w:rPr>
        <w:t xml:space="preserve">Objective: </w:t>
      </w:r>
      <w:r>
        <w:rPr>
          <w:b w:val="0"/>
          <w:color w:val="111827"/>
          <w:sz w:val="20"/>
        </w:rPr>
        <w:t>The objective is to modernize the codebase by ensuring the MethodTranslatorSubAgent can emit translated code with provenance.</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update the existing codebase by implementing the MethodTranslatorSubAgent, which will facilitate the emission of translated code with provenance. Utilizing the Strangler Fig Pattern, the project will ensure a seamless transition from legacy components to modernized systems. This workbook provides a structured approach, detailing each phase of the modernization process, from establishing baselines to finalizing quality gates. The high-risk tier and readiness score of zero highlight the critical need for careful planning and execution.</w:t>
      </w:r>
    </w:p>
    <w:p>
      <w:pPr>
        <w:pStyle w:val="ListParagraph"/>
      </w:pPr>
      <w:r>
        <w:rPr>
          <w:b w:val="0"/>
          <w:color w:val="111827"/>
          <w:sz w:val="18"/>
        </w:rPr>
        <w:t>- Objective: Modernize codebase for MethodTranslatorSubAgent functionality.</w:t>
      </w:r>
    </w:p>
    <w:p>
      <w:pPr>
        <w:pStyle w:val="ListParagraph"/>
      </w:pPr>
      <w:r>
        <w:rPr>
          <w:b w:val="0"/>
          <w:color w:val="111827"/>
          <w:sz w:val="18"/>
        </w:rPr>
        <w:t>- Strategy: Employ Strangler Fig Pattern for gradual transition.</w:t>
      </w:r>
    </w:p>
    <w:p>
      <w:pPr>
        <w:pStyle w:val="ListParagraph"/>
      </w:pPr>
      <w:r>
        <w:rPr>
          <w:b w:val="0"/>
          <w:color w:val="111827"/>
          <w:sz w:val="18"/>
        </w:rPr>
        <w:t>- Phases: Baseline, Migration, Hardening.</w:t>
      </w:r>
    </w:p>
    <w:p>
      <w:pPr>
        <w:pStyle w:val="ListParagraph"/>
      </w:pPr>
      <w:r>
        <w:rPr>
          <w:b w:val="0"/>
          <w:color w:val="111827"/>
          <w:sz w:val="18"/>
        </w:rPr>
        <w:t>- Risk Tier: High, necessitating strategic risk controls.</w:t>
      </w:r>
    </w:p>
    <w:p>
      <w:pPr>
        <w:pStyle w:val="ListParagraph"/>
      </w:pPr>
      <w:r>
        <w:rPr>
          <w:b w:val="0"/>
          <w:color w:val="111827"/>
          <w:sz w:val="18"/>
        </w:rPr>
        <w:t>- Readiness Score: Zero, indicating initial project stage.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High Risk: </w:t>
      </w:r>
      <w:r>
        <w:rPr>
          <w:b w:val="0"/>
          <w:color w:val="111827"/>
          <w:sz w:val="18"/>
        </w:rPr>
        <w:t>The project is classified as high risk due to its complexity.</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while maintaining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(6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approval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current dependencies to identify potential migration challenges.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targeted for modernization.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approval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Documentation of golden flows to ensure baseline equivalence.</w:t>
      </w:r>
    </w:p>
    <w:p>
      <w:r>
        <w:br w:type="page"/>
      </w:r>
    </w:p>
    <w:p>
      <w:pPr>
        <w:pStyle w:val="Heading1"/>
      </w:pPr>
      <w:r>
        <w:t>Section Q - Form Traceability Matrix</w:t>
      </w:r>
    </w:p>
    <w:p>
      <w:r>
        <w:rPr>
          <w:b w:val="0"/>
          <w:color w:val="6B7280"/>
          <w:sz w:val="18"/>
        </w:rPr>
        <w:t>Ensuring traceability of changes to maintain code integrity.</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for phased implementation.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loss of functionality during translation.</w:t>
            </w:r>
          </w:p>
        </w:tc>
        <w:tc>
          <w:tcPr>
            <w:tcW w:type="dxa" w:w="2520"/>
          </w:tcPr>
          <w:p>
            <w:r/>
            <w:r>
              <w:rPr>
                <w:b w:val="0"/>
                <w:color w:val="111827"/>
                <w:sz w:val="16"/>
              </w:rPr>
              <w:t>Implement comprehensive automated testing.</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Security vulnerabilities in translated code.</w:t>
            </w:r>
          </w:p>
        </w:tc>
        <w:tc>
          <w:tcPr>
            <w:tcW w:type="dxa" w:w="2520"/>
            <w:shd w:val="clear" w:color="auto" w:fill="F3F4F6"/>
          </w:tcPr>
          <w:p>
            <w:r/>
            <w:r>
              <w:rPr>
                <w:b w:val="0"/>
                <w:color w:val="111827"/>
                <w:sz w:val="16"/>
              </w:rPr>
              <w:t>Conduct regular security audits and apply patches.</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Performance degradation in the translation process.</w:t>
            </w:r>
          </w:p>
        </w:tc>
        <w:tc>
          <w:tcPr>
            <w:tcW w:type="dxa" w:w="2520"/>
          </w:tcPr>
          <w:p>
            <w:r/>
            <w:r>
              <w:rPr>
                <w:b w:val="0"/>
                <w:color w:val="111827"/>
                <w:sz w:val="16"/>
              </w:rPr>
              <w:t>Optimize translation algorithms and monitor performance.</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artifact://legacy_inventory/1.0/art_legacy_inventory_8c6ebbb4ea2942a1</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artifact://repo_landscape/1.0/art_repo_landscape_c7d62965f1454d23</w:t>
            </w:r>
          </w:p>
        </w:tc>
      </w:tr>
      <w:tr>
        <w:tc>
          <w:tcPr>
            <w:tcW w:type="dxa" w:w="5040"/>
          </w:tcPr>
          <w:p>
            <w:r/>
            <w:r>
              <w:rPr>
                <w:b w:val="0"/>
                <w:color w:val="111827"/>
                <w:sz w:val="16"/>
              </w:rPr>
              <w:t>scope_lock_ref</w:t>
            </w:r>
          </w:p>
        </w:tc>
        <w:tc>
          <w:tcPr>
            <w:tcW w:type="dxa" w:w="5040"/>
          </w:tcPr>
          <w:p>
            <w:r/>
            <w:r>
              <w:rPr>
                <w:b w:val="0"/>
                <w:color w:val="111827"/>
                <w:sz w:val="16"/>
              </w:rPr>
              <w:t>artifact://scope_lock/1.0/art_scope_lock_1a13ad534130443f</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artifact://variant_inventory/1.0/art_variant_inventory_79210c43b83648e7</w:t>
            </w:r>
          </w:p>
        </w:tc>
      </w:tr>
      <w:tr>
        <w:tc>
          <w:tcPr>
            <w:tcW w:type="dxa" w:w="5040"/>
          </w:tcPr>
          <w:p>
            <w:r/>
            <w:r>
              <w:rPr>
                <w:b w:val="0"/>
                <w:color w:val="111827"/>
                <w:sz w:val="16"/>
              </w:rPr>
              <w:t>event_map_ref</w:t>
            </w:r>
          </w:p>
        </w:tc>
        <w:tc>
          <w:tcPr>
            <w:tcW w:type="dxa" w:w="5040"/>
          </w:tcPr>
          <w:p>
            <w:r/>
            <w:r>
              <w:rPr>
                <w:b w:val="0"/>
                <w:color w:val="111827"/>
                <w:sz w:val="16"/>
              </w:rPr>
              <w:t>artifact://event_map/1.0/art_event_map_a9719df2120a402a</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artifact://sql_catalog/1.0/art_sql_catalog_46ed52a9cd254536</w:t>
            </w:r>
          </w:p>
        </w:tc>
      </w:tr>
      <w:tr>
        <w:tc>
          <w:tcPr>
            <w:tcW w:type="dxa" w:w="5040"/>
          </w:tcPr>
          <w:p>
            <w:r/>
            <w:r>
              <w:rPr>
                <w:b w:val="0"/>
                <w:color w:val="111827"/>
                <w:sz w:val="16"/>
              </w:rPr>
              <w:t>sql_map_ref</w:t>
            </w:r>
          </w:p>
        </w:tc>
        <w:tc>
          <w:tcPr>
            <w:tcW w:type="dxa" w:w="5040"/>
          </w:tcPr>
          <w:p>
            <w:r/>
            <w:r>
              <w:rPr>
                <w:b w:val="0"/>
                <w:color w:val="111827"/>
                <w:sz w:val="16"/>
              </w:rPr>
              <w:t>artifact://sql_map/1.0/art_sql_map_7be918ab01a44748</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artifact://data_access_map/1.0/art_data_access_map_0a19f4050d844973</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artifact://recordset_ops/1.0/art_recordset_ops_160983f3695b4fbb</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artifact://procedure_summary/1.0/art_procedure_summary_f28b028cff464359</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artifact://form_dossier/1.0/art_form_dossier_d61e045de3684701</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artifact://dependency_inventory/1.0/art_dependency_inventory_34fb3548af134302</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artifact://dependency_inventory/1.0/art_dependency_inventory_34fb3548af134302</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artifact://business_rule_catalog/1.0/art_business_rule_catalog_eb669b42a2124ca3</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artifact://detector_findings/1.0/art_detector_findings_c39ffa81a1af42a2</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artifact://risk_register/1.0/art_risk_register_1d5c6b59e2864b75</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artifact://orphan_analysis/1.0/art_orphan_analysis_81ee17e8767648b1</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artifact://delivery_constitution/1.0/art_delivery_constitution_aec13a2c8b7244f5</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artifact://variant_diff_report/1.0/art_variant_diff_report_fde18631ae30434b</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artifact://reporting_model/1.0/art_reporting_model_5bcef4dd03984531</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artifact://identity_access_model/1.0/art_identity_access_model_3e60a40a76874c40</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artifact://discover_review_checklist/1.0/art_discover_review_checklist_a46e2a74ff064e50</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artifact://artifact_index/1.0/art_artifact_index_64efd3ed943b47d7</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runctx://runctx-171418d745597703/kctx-0f4b7e7e4cb3a338</w:t>
            </w:r>
          </w:p>
        </w:tc>
      </w:tr>
      <w:tr>
        <w:tc>
          <w:tcPr>
            <w:tcW w:type="dxa" w:w="5040"/>
          </w:tcPr>
          <w:p>
            <w:r/>
            <w:r>
              <w:rPr>
                <w:b w:val="0"/>
                <w:color w:val="111827"/>
                <w:sz w:val="16"/>
              </w:rPr>
              <w:t>run_delivery_constitution_ref</w:t>
            </w:r>
          </w:p>
        </w:tc>
        <w:tc>
          <w:tcPr>
            <w:tcW w:type="dxa" w:w="5040"/>
          </w:tcPr>
          <w:p>
            <w:r/>
            <w:r>
              <w:rPr>
                <w:b w:val="0"/>
                <w:color w:val="111827"/>
                <w:sz w:val="16"/>
              </w:rPr>
              <w:t>runctx://runctx-171418d745597703/delivery_constitution/const-271683291c75</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