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handling staffing and business management.</w:t>
      </w:r>
    </w:p>
    <w:p>
      <w:r>
        <w:rPr>
          <w:b w:val="0"/>
          <w:i w:val="0"/>
          <w:color w:val="111111"/>
          <w:sz w:val="20"/>
        </w:rPr>
        <w:t>Kick increment Contractor — verify MethodTranslatorSubAgent emits translated code with provenance.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Code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handling staffing and business management.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magicbox-code-modernization.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d2e899d5ed87b311cc74c95b86095c5fa9d80ec4e2d4d5b20ab05f3b113a0b0e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0d27a54e4f09235f41a41cd9b5810efdb86fa74e0e03889621722cecc2d0fc66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