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Contractor Placement Management (P0)</w:t>
      </w:r>
    </w:p>
    <w:p>
      <w:pPr>
        <w:spacing w:after="80" w:before="80"/>
      </w:pPr>
      <w:r>
        <w:rPr>
          <w:sz w:val="22"/>
          <w:szCs w:val="22"/>
        </w:rPr>
        <w:t xml:space="preserve">Migrate contractor placement management functionality to .NET, ensuring all existing workflows are supported.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create, edit, and view contractor placements.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placement statuses are accurately reflected in the new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the migration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under 2 seconds for 1000 concurrent users.; Performance tests show no significant degradation under load.; Resource utilization is within acceptable limits during peak usage.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critical vulnerabilities are found in security assessments.; Security tests cover all OWASP Top Ten vulnerabilities.; Regular security audits are conducted post-deployment.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architecture supports horizontal scaling.; Performance remains stable with increased user load.; Scalability tests confirm system can handle 200% user growth.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high satisfaction with the new interface.; Usability tests show improved task completion times.; Training materials are updated and accessible to all users.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above 99.9%.; Automated monitoring alerts on any downtime.; Incident response procedures are in place and tested.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loss during migration to PostgreSQL.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post-migration.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UI.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training and support to ease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2026-05-13T13:48:15.361Z</dcterms:created>
  <dcterms:modified xsi:type="dcterms:W3CDTF">2026-05-13T13:48:15.361Z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