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Analyst Brief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2026-04-23   ·   Repo: Synthetix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Current technical analysis covers 11,611 LOC across 58 files in the selected PHP scope. Unless the scope lock explicitly states full-repository coverage, this workbook should be treated as the current analyzed slice rather than the entire application.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Project variants analysed from the repository. Member counts include forms and modules. Source LOC scanned: 11,611 (forms: 0, modules: 0, classes: 0, designers: 0) across 58 files. Forms are shown as mapped/discovered to expose excluded/unresolved form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1200"/>
        <w:gridCol w:w="800"/>
        <w:gridCol w:w="1300"/>
        <w:gridCol w:w="700"/>
        <w:gridCol w:w="900"/>
        <w:gridCol w:w="1100"/>
        <w:gridCol w:w="13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Startup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 (Mapped/Discovered)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LOC</w:t>
            </w:r>
          </w:p>
        </w:tc>
        <w:tc>
          <w:tcPr>
            <w:tcW w:type="dxa" w:w="1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Tables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Sweet Bank — Kotlin / Android Modernization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8"/>
                <w:szCs w:val="18"/>
              </w:rPr>
              <w:t xml:space="preserve">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Static Forensics Addendum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Static forensics signals summarize code-only findings that support discovery, including source database clues, connection-string variants, dead-form references, global module state, and related static evidence.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Deterministic static-analysis outputs from Discover used to support schema archaeology, traceability, and migration planning.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MDB / Access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MDB/ACCDB files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Connection String Variants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connection-string variants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Module Global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inferred module globals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Dead Form References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unresolved form references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DataEnvironment / Report Mapping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DataEnvironment/report mappings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Static Risk Detectors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static detector findings emitted.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Form and Dependency Inventory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Active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Active forms are the canonical in-scope form members associated with the resolved project set. Use this table as the authoritative form/file inventory for the technical workbook.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active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Orphan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Orphan forms were discovered in the repository but are not active project members for the analyzed build. They are retained here for technical review only.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orphan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K-Tech Technical Matrix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Technical matrix for active forms only: form type, ActiveX usage, DB tables, action count, and coverage/confidence.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600"/>
        <w:gridCol w:w="1800"/>
        <w:gridCol w:w="1400"/>
        <w:gridCol w:w="600"/>
        <w:gridCol w:w="1440"/>
      </w:tblGrid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 Dependencies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Cov%</w:t>
            </w:r>
          </w:p>
        </w:tc>
        <w:tc>
          <w:tcPr>
            <w:tcW w:type="dxa" w:w="1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root (Sweet Bank — Kotlin / Android Modernization)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6"/>
                <w:szCs w:val="16"/>
              </w:rPr>
              <w:t xml:space="preserve">kotlin_build_module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25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0.85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support (Sweet Bank — Kotlin / Android Modernization)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6"/>
                <w:szCs w:val="16"/>
              </w:rPr>
              <w:t xml:space="preserve">kotlin_android_module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13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0.85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External Dependencies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external dependencies (OCX, DLL, COM references) discovered across projects. GUID is used for COM registration lookup. Migration action indicates recommended replacement strategy.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2200"/>
        <w:gridCol w:w="2200"/>
        <w:gridCol w:w="900"/>
        <w:gridCol w:w="20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 / Reference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Forms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SQL operations discovered in source code, indexed by form and handler. Operations classified by type (SELECT/INSERT/UPDATE/DELETE). Basis for data access layer design in the migrated system.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SQL operations detected.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Form Flow Traces (P)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Per-form callable trace: each event handler and procedure with its kind, triggering event, ActiveX dependency, SQL operations executed, and table touchpoints. TRACE_GAP = the tool found a likely callable/flow context, but deterministic evidence was insufficient to prove the full SQL/table lineage. It does not mean the flow is absent; it means traceability remains incomplete and requires review.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Dependency Map (O)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Inter-form navigation links, shared module calls, and cross-variant schema conflicts used for technical dependency analysis and sequencing.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Navigation Links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navigation links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Shared Module Calls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shared module calls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Cross-Variant Schema Conflicts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cross-variant schema conflicts detected.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Risk Register — Technical Detail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risks flagged during analysis. Engineering team to review and confirm remediation approach for each. High severity items are hard blockers for production go-live.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240"/>
        <w:gridCol w:w="25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Description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Detector Findings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Automated detector findings from the analysis platform — patterns flagged for engineering review.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7340"/>
          <w:sz w:val="18"/>
          <w:szCs w:val="18"/>
        </w:rPr>
        <w:t xml:space="preserve">No detector findings recorded.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Data Validation Details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Field-level validation details inferred from active-form inputs and business-rule signals. These details define expected format, mandatory checks, and acceptable values where evidence exists.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1700"/>
        <w:gridCol w:w="1800"/>
        <w:gridCol w:w="2500"/>
        <w:gridCol w:w="2640"/>
      </w:tblGrid>
      <w:tr>
        <w:trPr>
          <w:tblHeader/>
        </w:trPr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Acceptable Values / Criteria</w:t>
            </w:r>
          </w:p>
        </w:tc>
        <w:tc>
          <w:tcPr>
            <w:tcW w:type="dxa" w:w="26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Root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Inputs from upstream consumers within the Sweet Bank Android app.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Numeric validation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Digits only; mandatory when submitting the workflow.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Inputs: Inputs from upstream consumers within the Sweet Bank Android app.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Support Artifacts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Inputs from upstream consumers within the Sweet Bank Android app.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Numeric validation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Digits only; mandatory when submitting the workflow.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Inputs: Inputs from upstream consumers within the Sweet Bank Android app.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Data Security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Business and technical security controls that must be preserved or strengthened in the migrated solution, including data access protection and credential handling.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explicit application-layer security controls were extracted. Preserve current data protections and validate encryption, credential handling, and database access controls during target design.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Third-Party Integration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Third-party components and local data-store integrations discovered in the legacy solution. This section documents APIs, OCX/DLL dependencies, and MDB-related exchange surfaces where present.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third-party components or explicit external integration surfaces were extracted beyond intrinsic VB runtime behavior.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UI Control Coverage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Observed selection/list controls and UI-input coverage inferred from the legacy form inventory. This is intended to highlight business-critical combobox/list inputs that must be preserved in the target UX.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raw selection/list controls were recovered from the current MD. If combobox/list values are business-critical, confirm them from the legacy form designers before migration.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Analyst Brief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2026-04-23T13:15:59.644Z</dcterms:created>
  <dcterms:modified xsi:type="dcterms:W3CDTF">2026-04-23T13:15:59.644Z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