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- Phase 4 Verification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Phased modernization strategy with helper resolver integration and signature validation to reduce system refusals</w:t>
      </w:r>
    </w:p>
    <w:p>
      <w:r>
        <w:rPr>
          <w:b w:val="0"/>
          <w:color w:val="6B7280"/>
          <w:sz w:val="18"/>
        </w:rPr>
        <w:t>Run 20260512_232443_812e785d  ·  Generated 2026-05-12T23:26:02.238980+00:00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High-level overview of Phase 4 verification objectives, readiness assessment, and strategic approach for legacy system modernization with helper resolver integration.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Phase 4 verification — helper resolver + signatures + fourth pass should reduce refusals further.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This workbook documents the Phase 4 verification initiative for legacy system modernization, focusing on helper resolver implementation and signature validation improvements. The project employs a phased modernization strategy designed to preserve existing behavior while enabling controlled migration. With a current readiness score of 60 and medium risk tier classification, the approach prioritizes baseline establishment, incremental dependency replacement, and comprehensive hardening before release. The three-phase strategy ensures golden flow capture, controlled form and module migration with dependency risk controls, and finalized quality gates with complete evidence documentation.</w:t>
      </w:r>
    </w:p>
    <w:p>
      <w:pPr>
        <w:pStyle w:val="ListParagraph"/>
      </w:pPr>
      <w:r>
        <w:rPr>
          <w:b w:val="0"/>
          <w:color w:val="111827"/>
          <w:sz w:val="18"/>
        </w:rPr>
        <w:t>- Phase 4 verification targets helper resolver integration and signature validation to reduce system refusals</w:t>
      </w:r>
    </w:p>
    <w:p>
      <w:pPr>
        <w:pStyle w:val="ListParagraph"/>
      </w:pPr>
      <w:r>
        <w:rPr>
          <w:b w:val="0"/>
          <w:color w:val="111827"/>
          <w:sz w:val="18"/>
        </w:rPr>
        <w:t>- Readiness score of 60 with medium risk tier requires controlled phased approach</w:t>
      </w:r>
    </w:p>
    <w:p>
      <w:pPr>
        <w:pStyle w:val="ListParagraph"/>
      </w:pPr>
      <w:r>
        <w:rPr>
          <w:b w:val="0"/>
          <w:color w:val="111827"/>
          <w:sz w:val="18"/>
        </w:rPr>
        <w:t>- Three-phase strategy: baseline capture, incremental migration, and hardening with quality gates</w:t>
      </w:r>
    </w:p>
    <w:p>
      <w:pPr>
        <w:pStyle w:val="ListParagraph"/>
      </w:pPr>
      <w:r>
        <w:rPr>
          <w:b w:val="0"/>
          <w:color w:val="111827"/>
          <w:sz w:val="18"/>
        </w:rPr>
        <w:t>- Preserve existing behavior first, then modernize through controlled dependency replacement</w:t>
      </w:r>
    </w:p>
    <w:p>
      <w:pPr>
        <w:pStyle w:val="ListParagraph"/>
      </w:pPr>
      <w:r>
        <w:rPr>
          <w:b w:val="0"/>
          <w:color w:val="111827"/>
          <w:sz w:val="18"/>
        </w:rPr>
        <w:t>- Complete evidence pack and quality gate finalization planned for Phase 2 completion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Risk Tier: </w:t>
      </w:r>
      <w:r>
        <w:rPr>
          <w:b w:val="0"/>
          <w:color w:val="111827"/>
          <w:sz w:val="18"/>
        </w:rPr>
        <w:t>Medium risk classification requires enhanced monitoring and controlled rollout procedures</w:t>
      </w:r>
    </w:p>
    <w:p>
      <w:r>
        <w:rPr>
          <w:b/>
          <w:color w:val="2E75B6"/>
          <w:sz w:val="18"/>
        </w:rPr>
        <w:t xml:space="preserve">Readiness: </w:t>
      </w:r>
      <w:r>
        <w:rPr>
          <w:b w:val="0"/>
          <w:color w:val="111827"/>
          <w:sz w:val="18"/>
        </w:rPr>
        <w:t>Current readiness score of 60 indicates additional preparation needed before full deployment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Visual representation of system dependencies and integration points affected by helper resolver implementation and signature validation improvements.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documentation of forms and modules targeted for migration during incremental modernization phases with dependency risk controls.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Golden flow documentation and baseline output capture to ensure behavior preservation throughout the modernization process.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End-to-end traceability matrix linking requirements, implementation phases, and verification criteria for complete audit trail.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Sprint planning and execution framework for the three-phase modernization approach with defined outcomes and exit criteria.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Risk assessment and mitigation strategies for medium-tier classification with focus on dependency replacement and system integration challenges.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artifact://legacy_inventory/1.0/art_legacy_inventory_3c0d80b9887c456f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artifact://repo_landscape/1.0/art_repo_landscape_ecc192bf4fa046a2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artifact://scope_lock/1.0/art_scope_lock_b0e20f3cad6047bf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artifact://variant_inventory/1.0/art_variant_inventory_3f66ea0468804ff2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artifact://event_map/1.0/art_event_map_7dd5637445b14f81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artifact://sql_catalog/1.0/art_sql_catalog_187a85d106874df5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artifact://sql_map/1.0/art_sql_map_845edbed08e04dc9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artifact://data_access_map/1.0/art_data_access_map_b28257ac206c493a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artifact://recordset_ops/1.0/art_recordset_ops_d5ff6ef1443c400b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artifact://procedure_summary/1.0/art_procedure_summary_4cc37ec1fe22413c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artifact://form_dossier/1.0/art_form_dossier_900c5160bc5a4cc0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artifact://dependency_inventory/1.0/art_dependency_inventory_cfd3320f56c64208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artifact://dependency_inventory/1.0/art_dependency_inventory_cfd3320f56c64208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artifact://business_rule_catalog/1.0/art_business_rule_catalog_a2ea0bd2845c44ed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artifact://detector_findings/1.0/art_detector_findings_be15a612e8e14b2e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artifact://risk_register/1.0/art_risk_register_438d1c43d6534a58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artifact://orphan_analysis/1.0/art_orphan_analysis_d854f95883f640ec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artifact://delivery_constitution/1.0/art_delivery_constitution_ecb29da96ff447a6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artifact://variant_diff_report/1.0/art_variant_diff_report_7999590603684504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artifact://reporting_model/1.0/art_reporting_model_5f5061d24bde402a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artifact://identity_access_model/1.0/art_identity_access_model_f16d743f37504b96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artifact://discover_review_checklist/1.0/art_discover_review_checklist_128ae171381648f6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artifact://artifact_index/1.0/art_artifact_index_96573a9d3fb7419f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runctx://runctx-0910c31bba1a7df5/kctx-9902e42d32f8c0bb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runctx://runctx-0910c31bba1a7df5/delivery_constitution/const-21944debb19e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