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Contractor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magicbox-contractor-modernization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Contractor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129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clear separation of concerns.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ORM capabilities and ease of use.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automatic object mapping.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ProblemDetails and Result&lt;T&gt; for error handling.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OIDC for secure and scalable authentication.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llm-enriched extraction for improved accuracy.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corrected parity to fix known issues.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clear separation of concerns.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ORM capabilities and ease of use.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automatic object mapping.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Adopt ProblemDetails and Result&lt;T&gt; for error handling.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Use OIDC for secure and scalable authentication.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llm-enriched extraction for improved accuracy.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corrected parity to fix known issues.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no explicitly owned entities yet.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no explicitly owned entities yet.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no explicitly owned entities yet.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no explicitly owned entities yet.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no explicitly owned entities yet.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no explicitly owned entities yet.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129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CONTRACTOR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Azure Monitor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Serilog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[NFR-005·SHOULD] System can handle 2× current load without degradation. (verified via Scalability testing with load simulation.)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99.9% monthly availability.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[NFR-005·SHOULD] System can handle 2× current load without degradation. (verified via Scalability testing with load simulation.)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OAuth 2.0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39a18fb51c1b5daf7d9af3f2aa2758438312dca450b75ea0e0fa5a563dcae7cf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3c3b86a9e1cf2d0fd31dc72b32277d21c01e8676ed835d3806d9de60ab77c0fd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