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Modernization Workbook</w:t>
            </w:r>
          </w:p>
        </w:tc>
      </w:tr>
    </w:tbl>
    <w:p>
      <w:r>
        <w:rPr>
          <w:b/>
          <w:color w:val="1F6B75"/>
          <w:sz w:val="26"/>
        </w:rPr>
        <w:t>MagicBox Modernization</w:t>
      </w:r>
    </w:p>
    <w:p>
      <w:r>
        <w:rPr>
          <w:b w:val="0"/>
          <w:color w:val="111827"/>
          <w:sz w:val="20"/>
        </w:rPr>
        <w:t>A strategic guide to modernizing contract owner definitions and system components.</w:t>
      </w:r>
    </w:p>
    <w:p>
      <w:r>
        <w:rPr>
          <w:b w:val="0"/>
          <w:color w:val="6B7280"/>
          <w:sz w:val="18"/>
        </w:rPr>
        <w:t>Run 20260512_181841_b92f36e6  ·  Generated 2026-05-12T18:19:37.344190+00:00  ·  Repo app</w:t>
      </w:r>
    </w:p>
    <w:p/>
    <w:p>
      <w:pPr>
        <w:pStyle w:val="Heading1"/>
      </w:pPr>
      <w:r>
        <w:t>Executive Snapshot</w:t>
      </w:r>
    </w:p>
    <w:p>
      <w:r>
        <w:rPr>
          <w:b w:val="0"/>
          <w:color w:val="6B7280"/>
          <w:sz w:val="18"/>
        </w:rPr>
        <w:t>Overview of the modernization strategy and objectives for MagicBox.</w:t>
      </w:r>
    </w:p>
    <w:p>
      <w:r>
        <w:rPr>
          <w:b/>
          <w:color w:val="2E75B6"/>
          <w:sz w:val="20"/>
        </w:rPr>
        <w:t xml:space="preserve">Objective: </w:t>
      </w:r>
      <w:r>
        <w:rPr>
          <w:b w:val="0"/>
          <w:color w:val="111827"/>
          <w:sz w:val="20"/>
        </w:rPr>
        <w:t>Ensure that contract owners in the system are correctly defined as canonical macro names, matching the declared containers.</w:t>
      </w:r>
    </w:p>
    <w:p>
      <w:r>
        <w:rPr>
          <w:b/>
          <w:color w:val="2E75B6"/>
          <w:sz w:val="20"/>
        </w:rPr>
        <w:t xml:space="preserve">Summary: </w:t>
      </w:r>
      <w:r>
        <w:rPr>
          <w:b w:val="0"/>
          <w:color w:val="111827"/>
          <w:sz w:val="20"/>
        </w:rPr>
        <w:t>Strangler Fig Pattern recommended.</w:t>
      </w:r>
    </w:p>
    <w:p>
      <w:r>
        <w:rPr>
          <w:b w:val="0"/>
          <w:color w:val="111827"/>
          <w:sz w:val="20"/>
        </w:rPr>
        <w:t>The MagicBox Modernization project aims to ensure that contract owners are correctly defined as canonical macro names, aligning with declared containers. Utilizing the Strangler Fig Pattern, the project will gradually replace legacy components while maintaining system functionality. The strategy is divided into three phases: capturing baseline outputs, migrating forms with risk controls, and finalizing quality gates. Despite a high-risk tier and zero readiness score, the project is structured to systematically address dependencies and ensure a smooth transition.</w:t>
      </w:r>
    </w:p>
    <w:p>
      <w:pPr>
        <w:pStyle w:val="ListParagraph"/>
      </w:pPr>
      <w:r>
        <w:rPr>
          <w:b w:val="0"/>
          <w:color w:val="111827"/>
          <w:sz w:val="18"/>
        </w:rPr>
        <w:t>- Objective: Align contract owners with canonical macro names.</w:t>
      </w:r>
    </w:p>
    <w:p>
      <w:pPr>
        <w:pStyle w:val="ListParagraph"/>
      </w:pPr>
      <w:r>
        <w:rPr>
          <w:b w:val="0"/>
          <w:color w:val="111827"/>
          <w:sz w:val="18"/>
        </w:rPr>
        <w:t>- Strategy: Strangler Fig Pattern for gradual replacement.</w:t>
      </w:r>
    </w:p>
    <w:p>
      <w:pPr>
        <w:pStyle w:val="ListParagraph"/>
      </w:pPr>
      <w:r>
        <w:rPr>
          <w:b w:val="0"/>
          <w:color w:val="111827"/>
          <w:sz w:val="18"/>
        </w:rPr>
        <w:t>- Phases: Baseline capture, migration, and hardening.</w:t>
      </w:r>
    </w:p>
    <w:p>
      <w:pPr>
        <w:pStyle w:val="ListParagraph"/>
      </w:pPr>
      <w:r>
        <w:rPr>
          <w:b w:val="0"/>
          <w:color w:val="111827"/>
          <w:sz w:val="18"/>
        </w:rPr>
        <w:t>- Risk Tier: High, with zero readiness score.</w:t>
      </w:r>
    </w:p>
    <w:p>
      <w:pPr>
        <w:pStyle w:val="ListParagraph"/>
      </w:pPr>
      <w:r>
        <w:rPr>
          <w:b w:val="0"/>
          <w:color w:val="111827"/>
          <w:sz w:val="18"/>
        </w:rPr>
        <w:t>- Inventory: No projects, forms, or dependencies yet.</w:t>
      </w:r>
    </w:p>
    <w:p>
      <w:pPr>
        <w:pStyle w:val="ListParagraph"/>
      </w:pPr>
      <w:r>
        <w:rPr>
          <w:b w:val="0"/>
          <w:color w:val="111827"/>
          <w:sz w:val="18"/>
        </w:rPr>
        <w:t>- Outcome: Maintain functionality during modernization.</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Alert: </w:t>
      </w:r>
      <w:r>
        <w:rPr>
          <w:b w:val="0"/>
          <w:color w:val="111827"/>
          <w:sz w:val="18"/>
        </w:rPr>
        <w:t>High-risk tier with zero readiness score.</w:t>
      </w:r>
    </w:p>
    <w:p>
      <w:pPr>
        <w:pStyle w:val="Heading2"/>
      </w:pPr>
      <w:r>
        <w:t>Recommended Modernization Strategy</w:t>
      </w:r>
    </w:p>
    <w:p>
      <w:r>
        <w:rPr>
          <w:b/>
          <w:color w:val="1F6B75"/>
          <w:sz w:val="20"/>
        </w:rPr>
        <w:t xml:space="preserve">Strangler Fig Pattern: </w:t>
      </w:r>
      <w:r>
        <w:rPr>
          <w:b w:val="0"/>
          <w:color w:val="111827"/>
          <w:sz w:val="20"/>
        </w:rPr>
        <w:t>Allows gradual replacement of legacy components while maintaining system functionality.</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(8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1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Data entry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Identify and manage dependencies critical to modernization success.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Details on forms and modules involved in the migration process.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Data entry</w:t>
            </w:r>
          </w:p>
        </w:tc>
        <w:tc>
          <w:tcPr>
            <w:tcW w:type="dxa" w:w="1680"/>
          </w:tcPr>
          <w:p>
            <w:r/>
            <w:r>
              <w:rPr>
                <w:b w:val="0"/>
                <w:color w:val="111827"/>
                <w:sz w:val="16"/>
              </w:rPr>
              <w:t>Presentation</w:t>
            </w:r>
          </w:p>
        </w:tc>
        <w:tc>
          <w:tcPr>
            <w:tcW w:type="dxa" w:w="1680"/>
          </w:tcPr>
          <w:p>
            <w:r/>
            <w:r>
              <w:rPr>
                <w:b w:val="0"/>
                <w:color w:val="111827"/>
                <w:sz w:val="16"/>
              </w:rPr>
              <w:t>input_validation</w:t>
            </w:r>
          </w:p>
        </w:tc>
        <w:tc>
          <w:tcPr>
            <w:tcW w:type="dxa" w:w="1680"/>
          </w:tcPr>
          <w:p>
            <w:r/>
            <w:r>
              <w:rPr>
                <w:b w:val="0"/>
                <w:color w:val="111827"/>
                <w:sz w:val="16"/>
              </w:rPr>
              <w:t>Contract owner names must match the canonical naming convention.</w:t>
            </w:r>
          </w:p>
        </w:tc>
        <w:tc>
          <w:tcPr>
            <w:tcW w:type="dxa" w:w="1680"/>
          </w:tcPr>
          <w:p>
            <w:r/>
            <w:r>
              <w:rPr>
                <w:b w:val="0"/>
                <w:color w:val="111827"/>
                <w:sz w:val="16"/>
              </w:rPr>
              <w:t>none</w:t>
            </w:r>
          </w:p>
        </w:tc>
      </w:tr>
    </w:tbl>
    <w:p>
      <w:r>
        <w:br w:type="page"/>
      </w:r>
    </w:p>
    <w:p>
      <w:pPr>
        <w:pStyle w:val="Heading1"/>
      </w:pPr>
      <w:r>
        <w:t>Section P - Form Flow Traces</w:t>
      </w:r>
    </w:p>
    <w:p>
      <w:r>
        <w:rPr>
          <w:b w:val="0"/>
          <w:color w:val="6B7280"/>
          <w:sz w:val="18"/>
        </w:rPr>
        <w:t>Capture and analyze golden flows to establish baselines.</w:t>
      </w:r>
    </w:p>
    <w:p>
      <w:r>
        <w:br w:type="page"/>
      </w:r>
    </w:p>
    <w:p>
      <w:pPr>
        <w:pStyle w:val="Heading1"/>
      </w:pPr>
      <w:r>
        <w:t>Section Q - Form Traceability Matrix</w:t>
      </w:r>
    </w:p>
    <w:p>
      <w:r>
        <w:rPr>
          <w:b w:val="0"/>
          <w:color w:val="6B7280"/>
          <w:sz w:val="18"/>
        </w:rPr>
        <w:t>Ensure traceability of changes and alignment with objectives.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 cycles for phased implementation.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Assessment and management of risks associated with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for mismatches between existing data and new naming conventions.</w:t>
            </w:r>
          </w:p>
        </w:tc>
        <w:tc>
          <w:tcPr>
            <w:tcW w:type="dxa" w:w="2520"/>
          </w:tcPr>
          <w:p>
            <w:r/>
            <w:r>
              <w:rPr>
                <w:b w:val="0"/>
                <w:color w:val="111827"/>
                <w:sz w:val="16"/>
              </w:rPr>
              <w:t>Conduct thorough data audit and provide tools for correction.</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Performance degradation during validation under load.</w:t>
            </w:r>
          </w:p>
        </w:tc>
        <w:tc>
          <w:tcPr>
            <w:tcW w:type="dxa" w:w="2520"/>
            <w:shd w:val="clear" w:color="auto" w:fill="F3F4F6"/>
          </w:tcPr>
          <w:p>
            <w:r/>
            <w:r>
              <w:rPr>
                <w:b w:val="0"/>
                <w:color w:val="111827"/>
                <w:sz w:val="16"/>
              </w:rPr>
              <w:t>Optimize validation logic and conduct performance testing.</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artifact://legacy_inventory/1.0/art_legacy_inventory_ac7d7cab1af044cb</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artifact://repo_landscape/1.0/art_repo_landscape_97073b791fe44449</w:t>
            </w:r>
          </w:p>
        </w:tc>
      </w:tr>
      <w:tr>
        <w:tc>
          <w:tcPr>
            <w:tcW w:type="dxa" w:w="5040"/>
          </w:tcPr>
          <w:p>
            <w:r/>
            <w:r>
              <w:rPr>
                <w:b w:val="0"/>
                <w:color w:val="111827"/>
                <w:sz w:val="16"/>
              </w:rPr>
              <w:t>scope_lock_ref</w:t>
            </w:r>
          </w:p>
        </w:tc>
        <w:tc>
          <w:tcPr>
            <w:tcW w:type="dxa" w:w="5040"/>
          </w:tcPr>
          <w:p>
            <w:r/>
            <w:r>
              <w:rPr>
                <w:b w:val="0"/>
                <w:color w:val="111827"/>
                <w:sz w:val="16"/>
              </w:rPr>
              <w:t>artifact://scope_lock/1.0/art_scope_lock_8543a4dea1cb424c</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artifact://variant_inventory/1.0/art_variant_inventory_226dacf7c9344dfe</w:t>
            </w:r>
          </w:p>
        </w:tc>
      </w:tr>
      <w:tr>
        <w:tc>
          <w:tcPr>
            <w:tcW w:type="dxa" w:w="5040"/>
          </w:tcPr>
          <w:p>
            <w:r/>
            <w:r>
              <w:rPr>
                <w:b w:val="0"/>
                <w:color w:val="111827"/>
                <w:sz w:val="16"/>
              </w:rPr>
              <w:t>event_map_ref</w:t>
            </w:r>
          </w:p>
        </w:tc>
        <w:tc>
          <w:tcPr>
            <w:tcW w:type="dxa" w:w="5040"/>
          </w:tcPr>
          <w:p>
            <w:r/>
            <w:r>
              <w:rPr>
                <w:b w:val="0"/>
                <w:color w:val="111827"/>
                <w:sz w:val="16"/>
              </w:rPr>
              <w:t>artifact://event_map/1.0/art_event_map_c60176a2cdbd4a00</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artifact://sql_catalog/1.0/art_sql_catalog_62fc7d3b6bea4e40</w:t>
            </w:r>
          </w:p>
        </w:tc>
      </w:tr>
      <w:tr>
        <w:tc>
          <w:tcPr>
            <w:tcW w:type="dxa" w:w="5040"/>
          </w:tcPr>
          <w:p>
            <w:r/>
            <w:r>
              <w:rPr>
                <w:b w:val="0"/>
                <w:color w:val="111827"/>
                <w:sz w:val="16"/>
              </w:rPr>
              <w:t>sql_map_ref</w:t>
            </w:r>
          </w:p>
        </w:tc>
        <w:tc>
          <w:tcPr>
            <w:tcW w:type="dxa" w:w="5040"/>
          </w:tcPr>
          <w:p>
            <w:r/>
            <w:r>
              <w:rPr>
                <w:b w:val="0"/>
                <w:color w:val="111827"/>
                <w:sz w:val="16"/>
              </w:rPr>
              <w:t>artifact://sql_map/1.0/art_sql_map_fbcda9ddce254945</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artifact://data_access_map/1.0/art_data_access_map_4b91202c662d475e</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artifact://recordset_ops/1.0/art_recordset_ops_148d370a368e474a</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artifact://procedure_summary/1.0/art_procedure_summary_35a1f9dfe3f14e29</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artifact://form_dossier/1.0/art_form_dossier_cfe76e3732c24f5b</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artifact://dependency_inventory/1.0/art_dependency_inventory_1fd63a5b9712430d</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artifact://dependency_inventory/1.0/art_dependency_inventory_1fd63a5b9712430d</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artifact://business_rule_catalog/1.0/art_business_rule_catalog_c589eebca9334515</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artifact://detector_findings/1.0/art_detector_findings_ec0d9cd7d8ab4c98</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artifact://risk_register/1.0/art_risk_register_cbfad31a4d8a48bd</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artifact://orphan_analysis/1.0/art_orphan_analysis_e5a8d543d7b749af</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artifact://delivery_constitution/1.0/art_delivery_constitution_cce7057dd9b14c84</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artifact://variant_diff_report/1.0/art_variant_diff_report_19bbaee07cc34c13</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artifact://reporting_model/1.0/art_reporting_model_e054843652594187</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artifact://identity_access_model/1.0/art_identity_access_model_406046cccb454fd7</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artifact://discover_review_checklist/1.0/art_discover_review_checklist_4bd038941bf14f36</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artifact://artifact_index/1.0/art_artifact_index_09007e5a41d14a7d</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runctx://runctx-83789b0c69793745/kctx-6c852fcceab50a55</w:t>
            </w:r>
          </w:p>
        </w:tc>
      </w:tr>
      <w:tr>
        <w:tc>
          <w:tcPr>
            <w:tcW w:type="dxa" w:w="5040"/>
          </w:tcPr>
          <w:p>
            <w:r/>
            <w:r>
              <w:rPr>
                <w:b w:val="0"/>
                <w:color w:val="111827"/>
                <w:sz w:val="16"/>
              </w:rPr>
              <w:t>run_delivery_constitution_ref</w:t>
            </w:r>
          </w:p>
        </w:tc>
        <w:tc>
          <w:tcPr>
            <w:tcW w:type="dxa" w:w="5040"/>
          </w:tcPr>
          <w:p>
            <w:r/>
            <w:r>
              <w:rPr>
                <w:b w:val="0"/>
                <w:color w:val="111827"/>
                <w:sz w:val="16"/>
              </w:rPr>
              <w:t>runctx://runctx-83789b0c69793745/delivery_constitution/const-e8c7c406995d</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