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Legacy Modernization Scope – Phase 7 Smoke Test Blueprint</w:t>
            </w:r>
          </w:p>
        </w:tc>
      </w:tr>
    </w:tbl>
    <w:p>
      <w:r>
        <w:rPr>
          <w:b/>
          <w:color w:val="1F6B75"/>
          <w:sz w:val="26"/>
        </w:rPr>
        <w:t>Legacy Modernization Scope</w:t>
      </w:r>
    </w:p>
    <w:p>
      <w:r>
        <w:rPr>
          <w:b w:val="0"/>
          <w:color w:val="111827"/>
          <w:sz w:val="20"/>
        </w:rPr>
        <w:t>Architecture, response, and auth lint validation with 5-method component subset. Readiness 60%, medium risk tier.</w:t>
      </w:r>
    </w:p>
    <w:p>
      <w:r>
        <w:rPr>
          <w:b w:val="0"/>
          <w:color w:val="6B7280"/>
          <w:sz w:val="18"/>
        </w:rPr>
        <w:t>Run 20260513_123049_1bedd208  ·  Generated 2026-05-13T12:32:12.604199+00:00  ·  Repo app</w:t>
      </w:r>
    </w:p>
    <w:p/>
    <w:p>
      <w:pPr>
        <w:pStyle w:val="Heading1"/>
      </w:pPr>
      <w:r>
        <w:t>Executive Snapshot</w:t>
      </w:r>
    </w:p>
    <w:p>
      <w:r>
        <w:rPr>
          <w:b w:val="0"/>
          <w:color w:val="6B7280"/>
          <w:sz w:val="18"/>
        </w:rPr>
        <w:t>Phase 7 smoke test validates architecture, response, and auth lints on a 5-method component subset. Readiness 60%, medium risk. Strategy spans three phases: baseline (PH0), incremental migration (PH1), hardening (PH2). No forms, dependencies, or event handlers currently inventoried.</w:t>
      </w:r>
    </w:p>
    <w:p>
      <w:r>
        <w:rPr>
          <w:b/>
          <w:color w:val="2E75B6"/>
          <w:sz w:val="20"/>
        </w:rPr>
        <w:t xml:space="preserve">Objective: </w:t>
      </w:r>
      <w:r>
        <w:rPr>
          <w:b w:val="0"/>
          <w:color w:val="111827"/>
          <w:sz w:val="20"/>
        </w:rPr>
        <w:t>Phase 7 smoke — architecture/response/auth lints + small subset (5 methods/component).</w:t>
      </w:r>
    </w:p>
    <w:p>
      <w:r>
        <w:rPr>
          <w:b/>
          <w:color w:val="2E75B6"/>
          <w:sz w:val="20"/>
        </w:rPr>
        <w:t xml:space="preserve">Summary: </w:t>
      </w:r>
      <w:r>
        <w:rPr>
          <w:b w:val="0"/>
          <w:color w:val="111827"/>
          <w:sz w:val="20"/>
        </w:rPr>
        <w:t>Phased modernization recommended.</w:t>
      </w:r>
    </w:p>
    <w:p>
      <w:r>
        <w:rPr>
          <w:b w:val="0"/>
          <w:color w:val="111827"/>
          <w:sz w:val="20"/>
        </w:rPr>
        <w:t>This workbook documents Phase 7 smoke testing for the Legacy Modernization Scope project (run_id: 20260513_123049_1bedd208). The initiative follows a phased modernization strategy prioritizing behavior preservation before controlled modernization. Phase 7 focuses on architecture lints, response validation, and authentication lints applied to a small subset of 5 methods/components. Current readiness score is 60% with medium risk tier. The strategy spans three phases: PH0 (baseline and equivalence harness), PH1 (incremental migration with dependency controls), and PH2 (hardening and release evidence). This blueprint provides dependency mapping, form dossiers, flow traces, traceability matrices, sprint planning, and risk assessment to guide execution and evidence collection.</w:t>
      </w:r>
    </w:p>
    <w:p>
      <w:pPr>
        <w:pStyle w:val="ListParagraph"/>
      </w:pPr>
      <w:r>
        <w:rPr>
          <w:b w:val="0"/>
          <w:color w:val="111827"/>
          <w:sz w:val="18"/>
        </w:rPr>
        <w:t>- Phase 7 targets architecture, response, and auth lints on 5-method component subset to validate smoke test readiness.</w:t>
      </w:r>
    </w:p>
    <w:p>
      <w:pPr>
        <w:pStyle w:val="ListParagraph"/>
      </w:pPr>
      <w:r>
        <w:rPr>
          <w:b w:val="0"/>
          <w:color w:val="111827"/>
          <w:sz w:val="18"/>
        </w:rPr>
        <w:t>- Phased strategy preserves legacy behavior first, then modernizes incrementally with dependency risk controls.</w:t>
      </w:r>
    </w:p>
    <w:p>
      <w:pPr>
        <w:pStyle w:val="ListParagraph"/>
      </w:pPr>
      <w:r>
        <w:rPr>
          <w:b w:val="0"/>
          <w:color w:val="111827"/>
          <w:sz w:val="18"/>
        </w:rPr>
        <w:t>- Current readiness score 60% (medium risk); three-phase roadmap from baseline through hardening to release evidence.</w:t>
      </w:r>
    </w:p>
    <w:p>
      <w:pPr>
        <w:pStyle w:val="ListParagraph"/>
      </w:pPr>
      <w:r>
        <w:rPr>
          <w:b w:val="0"/>
          <w:color w:val="111827"/>
          <w:sz w:val="18"/>
        </w:rPr>
        <w:t>- No projects, forms, dependencies, event handlers, or table touches currently inventoried in scope.</w:t>
      </w:r>
    </w:p>
    <w:p>
      <w:pPr>
        <w:pStyle w:val="ListParagraph"/>
      </w:pPr>
      <w:r>
        <w:rPr>
          <w:b w:val="0"/>
          <w:color w:val="111827"/>
          <w:sz w:val="18"/>
        </w:rPr>
        <w:t>- Smoke test validates lints and equivalence before full Phase 1 migration and dependency replacement.</w:t>
      </w:r>
    </w:p>
    <w:p>
      <w:pPr>
        <w:pStyle w:val="ListParagraph"/>
      </w:pPr>
      <w:r>
        <w:rPr>
          <w:b w:val="0"/>
          <w:color w:val="111827"/>
          <w:sz w:val="18"/>
        </w:rPr>
        <w:t>- Exit criteria and quality gates defined per phase to ensure controlled progression and evidence capture.</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60/100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medium</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Readiness Gap: </w:t>
      </w:r>
      <w:r>
        <w:rPr>
          <w:b w:val="0"/>
          <w:color w:val="111827"/>
          <w:sz w:val="18"/>
        </w:rPr>
        <w:t>Readiness score 60% indicates incomplete baseline and equivalence harness. Prioritize PH0 exit criteria before Phase 1 migration.</w:t>
      </w:r>
    </w:p>
    <w:p>
      <w:r>
        <w:rPr>
          <w:b/>
          <w:color w:val="2E75B6"/>
          <w:sz w:val="18"/>
        </w:rPr>
        <w:t xml:space="preserve">Scope Clarity: </w:t>
      </w:r>
      <w:r>
        <w:rPr>
          <w:b w:val="0"/>
          <w:color w:val="111827"/>
          <w:sz w:val="18"/>
        </w:rPr>
        <w:t>5-method/component subset is small; confirm this represents critical path or highest-risk surface for smoke validation.</w:t>
      </w:r>
    </w:p>
    <w:p>
      <w:pPr>
        <w:ind w:left="115"/>
      </w:pPr>
      <w:r>
        <w:rPr>
          <w:b/>
          <w:color w:val="2E75B6"/>
          <w:sz w:val="18"/>
        </w:rPr>
        <w:t xml:space="preserve">Dependency Inventory: </w:t>
      </w:r>
      <w:r>
        <w:rPr>
          <w:b w:val="0"/>
          <w:color w:val="111827"/>
          <w:sz w:val="18"/>
        </w:rPr>
        <w:t>Zero dependencies, forms, and event handlers currently recorded. Validate inventory completeness before dependency replacement phase.</w:t>
      </w:r>
    </w:p>
    <w:p>
      <w:pPr>
        <w:pStyle w:val="Heading2"/>
      </w:pPr>
      <w:r>
        <w:t>Recommended Modernization Strategy</w:t>
      </w:r>
    </w:p>
    <w:p>
      <w:r>
        <w:rPr>
          <w:b/>
          <w:color w:val="1F6B75"/>
          <w:sz w:val="20"/>
        </w:rPr>
        <w:t xml:space="preserve">Phased modernization: </w:t>
      </w:r>
      <w:r>
        <w:rPr>
          <w:b w:val="0"/>
          <w:color w:val="111827"/>
          <w:sz w:val="20"/>
        </w:rPr>
        <w:t>Preserve behavior first, then modernize in controlled phases.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pass=12, warn=4,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12</w:t>
            </w:r>
          </w:p>
        </w:tc>
        <w:tc>
          <w:tcPr>
            <w:tcW w:type="dxa" w:w="1680"/>
          </w:tcPr>
          <w:p>
            <w:r/>
            <w:r>
              <w:rPr>
                <w:b w:val="0"/>
                <w:color w:val="111827"/>
                <w:sz w:val="18"/>
              </w:rPr>
              <w:t>4</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pass=12, warn=4,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0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Rule scope form references resolve against discovered form inventory.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Dependency inventory currently shows zero recorded dependencies. Map external and internal dependencies for the 5-method subset to identify risk controls and replacement sequencing required for Phase 1 migration.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Zero forms currently inventoried in scope. Document any forms associated with the 5-method component subset, including current state, validation rules, and modernization requirements.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8"/>
              </w:rPr>
              <w:t>BR-NA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No business rules available</w:t>
            </w:r>
          </w:p>
        </w:tc>
        <w:tc>
          <w:tcPr>
            <w:tcW w:type="dxa" w:w="1680"/>
          </w:tcPr>
          <w:p>
            <w:r/>
            <w:r>
              <w:rPr>
                <w:b w:val="0"/>
                <w:color w:val="111827"/>
                <w:sz w:val="18"/>
              </w:rPr>
              <w:t>none</w:t>
            </w:r>
          </w:p>
        </w:tc>
      </w:tr>
    </w:tbl>
    <w:p>
      <w:r>
        <w:br w:type="page"/>
      </w:r>
    </w:p>
    <w:p>
      <w:pPr>
        <w:pStyle w:val="Heading1"/>
      </w:pPr>
      <w:r>
        <w:t>Section P - Form Flow Traces</w:t>
      </w:r>
    </w:p>
    <w:p>
      <w:r>
        <w:rPr>
          <w:b w:val="0"/>
          <w:color w:val="6B7280"/>
          <w:sz w:val="18"/>
        </w:rPr>
        <w:t>Trace execution flows for the 5-method component subset to establish golden flows and baseline outputs (PH0 objective). Capture request/response paths, auth checkpoints, and error handling.</w:t>
      </w:r>
    </w:p>
    <w:p>
      <w:r>
        <w:br w:type="page"/>
      </w:r>
    </w:p>
    <w:p>
      <w:pPr>
        <w:pStyle w:val="Heading1"/>
      </w:pPr>
      <w:r>
        <w:t>Section Q - Form Traceability Matrix</w:t>
      </w:r>
    </w:p>
    <w:p>
      <w:r>
        <w:rPr>
          <w:b w:val="0"/>
          <w:color w:val="6B7280"/>
          <w:sz w:val="18"/>
        </w:rPr>
        <w:t>Link Phase 7 smoke test results to PH0 exit criteria and equivalence harness. Establish traceability from lint findings to remediation tasks and Phase 1 migration readiness gates.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Organize Phase 7 smoke test activities into sprints: lint execution, result analysis, remediation planning, and evidence collection. Align sprint goals with PH0 exit criteria and readiness score improvement targets.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Medium risk tier reflects incomplete baseline and zero dependency inventory. Key risks: scope creep beyond 5 methods, lint false positives, auth validation gaps, and dependency discovery delays impacting Phase 1 start.</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RISK-PARSE-001</w:t>
            </w:r>
          </w:p>
        </w:tc>
        <w:tc>
          <w:tcPr>
            <w:tcW w:type="dxa" w:w="2520"/>
            <w:shd w:val="clear" w:color="auto" w:fill="FEF3C7"/>
          </w:tcPr>
          <w:p>
            <w:r/>
            <w:r>
              <w:rPr>
                <w:b w:val="0"/>
                <w:color w:val="111827"/>
                <w:sz w:val="16"/>
              </w:rPr>
              <w:t>MEDIUM</w:t>
            </w:r>
          </w:p>
        </w:tc>
        <w:tc>
          <w:tcPr>
            <w:tcW w:type="dxa" w:w="2520"/>
          </w:tcPr>
          <w:p>
            <w:r/>
            <w:r>
              <w:rPr>
                <w:b w:val="0"/>
                <w:color w:val="111827"/>
                <w:sz w:val="16"/>
              </w:rPr>
              <w:t>The primary Analyst LLM response could not be parsed into valid JSON, so Synthetix compiled the requirements pack from deterministic evidence instead.</w:t>
            </w:r>
          </w:p>
        </w:tc>
        <w:tc>
          <w:tcPr>
            <w:tcW w:type="dxa" w:w="2520"/>
          </w:tcPr>
          <w:p>
            <w:r/>
            <w:r>
              <w:rPr>
                <w:b w:val="0"/>
                <w:color w:val="111827"/>
                <w:sz w:val="16"/>
              </w:rPr>
              <w:t>Review the generated artifacts and rerun with a stricter output contract if additional narrative depth is required.</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artifact://legacy_inventory/1.0/art_legacy_inventory_4c7a3687af164973</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artifact://repo_landscape/1.0/art_repo_landscape_953004497d034c21</w:t>
            </w:r>
          </w:p>
        </w:tc>
      </w:tr>
      <w:tr>
        <w:tc>
          <w:tcPr>
            <w:tcW w:type="dxa" w:w="5040"/>
          </w:tcPr>
          <w:p>
            <w:r/>
            <w:r>
              <w:rPr>
                <w:b w:val="0"/>
                <w:color w:val="111827"/>
                <w:sz w:val="16"/>
              </w:rPr>
              <w:t>scope_lock_ref</w:t>
            </w:r>
          </w:p>
        </w:tc>
        <w:tc>
          <w:tcPr>
            <w:tcW w:type="dxa" w:w="5040"/>
          </w:tcPr>
          <w:p>
            <w:r/>
            <w:r>
              <w:rPr>
                <w:b w:val="0"/>
                <w:color w:val="111827"/>
                <w:sz w:val="16"/>
              </w:rPr>
              <w:t>artifact://scope_lock/1.0/art_scope_lock_07acded0f9064048</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artifact://variant_inventory/1.0/art_variant_inventory_0352568f70e643da</w:t>
            </w:r>
          </w:p>
        </w:tc>
      </w:tr>
      <w:tr>
        <w:tc>
          <w:tcPr>
            <w:tcW w:type="dxa" w:w="5040"/>
          </w:tcPr>
          <w:p>
            <w:r/>
            <w:r>
              <w:rPr>
                <w:b w:val="0"/>
                <w:color w:val="111827"/>
                <w:sz w:val="16"/>
              </w:rPr>
              <w:t>event_map_ref</w:t>
            </w:r>
          </w:p>
        </w:tc>
        <w:tc>
          <w:tcPr>
            <w:tcW w:type="dxa" w:w="5040"/>
          </w:tcPr>
          <w:p>
            <w:r/>
            <w:r>
              <w:rPr>
                <w:b w:val="0"/>
                <w:color w:val="111827"/>
                <w:sz w:val="16"/>
              </w:rPr>
              <w:t>artifact://event_map/1.0/art_event_map_588c205d34ff4703</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artifact://sql_catalog/1.0/art_sql_catalog_e3076a9638024305</w:t>
            </w:r>
          </w:p>
        </w:tc>
      </w:tr>
      <w:tr>
        <w:tc>
          <w:tcPr>
            <w:tcW w:type="dxa" w:w="5040"/>
          </w:tcPr>
          <w:p>
            <w:r/>
            <w:r>
              <w:rPr>
                <w:b w:val="0"/>
                <w:color w:val="111827"/>
                <w:sz w:val="16"/>
              </w:rPr>
              <w:t>sql_map_ref</w:t>
            </w:r>
          </w:p>
        </w:tc>
        <w:tc>
          <w:tcPr>
            <w:tcW w:type="dxa" w:w="5040"/>
          </w:tcPr>
          <w:p>
            <w:r/>
            <w:r>
              <w:rPr>
                <w:b w:val="0"/>
                <w:color w:val="111827"/>
                <w:sz w:val="16"/>
              </w:rPr>
              <w:t>artifact://sql_map/1.0/art_sql_map_c093498756c740c0</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artifact://data_access_map/1.0/art_data_access_map_e4b7463c3f804dd0</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artifact://recordset_ops/1.0/art_recordset_ops_0f8deb757cb74c62</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artifact://procedure_summary/1.0/art_procedure_summary_88b0c7f0dc2d4d37</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artifact://form_dossier/1.0/art_form_dossier_53390b05ae39431a</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artifact://dependency_inventory/1.0/art_dependency_inventory_b9f2dd9b887c437e</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artifact://dependency_inventory/1.0/art_dependency_inventory_b9f2dd9b887c437e</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artifact://business_rule_catalog/1.0/art_business_rule_catalog_9e19ec9165c34d9c</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artifact://detector_findings/1.0/art_detector_findings_53c9b3ae3eee4a68</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artifact://risk_register/1.0/art_risk_register_328d6436292041b3</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artifact://orphan_analysis/1.0/art_orphan_analysis_8e2165ee423543c7</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artifact://delivery_constitution/1.0/art_delivery_constitution_9622213693b14e34</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artifact://variant_diff_report/1.0/art_variant_diff_report_2201b22325b44a54</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artifact://reporting_model/1.0/art_reporting_model_99ab4bfcdd8643f8</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artifact://identity_access_model/1.0/art_identity_access_model_a35c580f58754a49</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artifact://discover_review_checklist/1.0/art_discover_review_checklist_47f97a0e6203400c</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artifact://artifact_index/1.0/art_artifact_index_c425da7a953f4669</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runctx://runctx-35bd706dda1b9cce/kctx-9902e42d32f8c0bb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runctx://runctx-35bd706dda1b9cce/delivery_constitution/const-695be51810c0</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