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PHP Application Modernization Workbook</w:t>
            </w:r>
          </w:p>
        </w:tc>
      </w:tr>
    </w:tbl>
    <w:p>
      <w:r>
        <w:rPr>
          <w:b/>
          <w:color w:val="1F6B75"/>
          <w:sz w:val="26"/>
        </w:rPr>
        <w:t>PHP Application Modernization</w:t>
      </w:r>
    </w:p>
    <w:p>
      <w:r>
        <w:rPr>
          <w:b w:val="0"/>
          <w:color w:val="111827"/>
          <w:sz w:val="20"/>
        </w:rPr>
        <w:t>A strategic guide to modernizing PHP applications for enhanced modularity, scalability, and security.</w:t>
      </w:r>
    </w:p>
    <w:p>
      <w:r>
        <w:rPr>
          <w:b w:val="0"/>
          <w:color w:val="6B7280"/>
          <w:sz w:val="18"/>
        </w:rPr>
        <w:t>Run 20260429_171222_ee627b59  ·  Generated 2026-04-29T21:13:21.438694+00:00  ·  Repo Synthetix</w:t>
      </w:r>
    </w:p>
    <w:p/>
    <w:p>
      <w:pPr>
        <w:pStyle w:val="Heading1"/>
      </w:pPr>
      <w:r>
        <w:t>Executive Snapshot</w:t>
      </w:r>
    </w:p>
    <w:p>
      <w:r>
        <w:rPr>
          <w:b w:val="0"/>
          <w:color w:val="6B7280"/>
          <w:sz w:val="18"/>
        </w:rPr>
        <w:t>An overview of the modernization strategy and current project status.</w:t>
      </w:r>
    </w:p>
    <w:p>
      <w:r>
        <w:rPr>
          <w:b/>
          <w:color w:val="2E75B6"/>
          <w:sz w:val="20"/>
        </w:rPr>
        <w:t xml:space="preserve">Objective: </w:t>
      </w:r>
      <w:r>
        <w:rPr>
          <w:b w:val="0"/>
          <w:color w:val="111827"/>
          <w:sz w:val="20"/>
        </w:rPr>
        <w:t>Modernize a PHP application focused on message brokering, document searching, and client interactions to enhance modularity, scalability, and security.</w:t>
      </w:r>
    </w:p>
    <w:p>
      <w:r>
        <w:rPr>
          <w:b/>
          <w:color w:val="2E75B6"/>
          <w:sz w:val="20"/>
        </w:rPr>
        <w:t xml:space="preserve">Summary: </w:t>
      </w:r>
      <w:r>
        <w:rPr>
          <w:b w:val="0"/>
          <w:color w:val="111827"/>
          <w:sz w:val="20"/>
        </w:rPr>
        <w:t>Strangler Fig Pattern recommended.</w:t>
      </w:r>
    </w:p>
    <w:p>
      <w:r>
        <w:rPr>
          <w:b w:val="0"/>
          <w:color w:val="111827"/>
          <w:sz w:val="20"/>
        </w:rPr>
        <w:t>The PHP Application Modernization project aims to transform a legacy application by focusing on message brokering, document searching, and client interactions. Utilizing the Strangler Fig Pattern, the project will incrementally modernize the application without disrupting existing functionality. The strategy involves capturing baseline outputs, migrating forms and modules with risk controls, and finalizing quality gates to ensure a robust release.</w:t>
      </w:r>
    </w:p>
    <w:p>
      <w:pPr>
        <w:pStyle w:val="ListParagraph"/>
      </w:pPr>
      <w:r>
        <w:rPr>
          <w:b w:val="0"/>
          <w:color w:val="111827"/>
          <w:sz w:val="18"/>
        </w:rPr>
        <w:t>- Objective: Enhance modularity, scalability, and security.</w:t>
      </w:r>
    </w:p>
    <w:p>
      <w:pPr>
        <w:pStyle w:val="ListParagraph"/>
      </w:pPr>
      <w:r>
        <w:rPr>
          <w:b w:val="0"/>
          <w:color w:val="111827"/>
          <w:sz w:val="18"/>
        </w:rPr>
        <w:t>- Strategy: Strangler Fig Pattern for incremental modernization.</w:t>
      </w:r>
    </w:p>
    <w:p>
      <w:pPr>
        <w:pStyle w:val="ListParagraph"/>
      </w:pPr>
      <w:r>
        <w:rPr>
          <w:b w:val="0"/>
          <w:color w:val="111827"/>
          <w:sz w:val="18"/>
        </w:rPr>
        <w:t>- Phases: Baseline capture, migration, and hardening.</w:t>
      </w:r>
    </w:p>
    <w:p>
      <w:pPr>
        <w:pStyle w:val="ListParagraph"/>
      </w:pPr>
      <w:r>
        <w:rPr>
          <w:b w:val="0"/>
          <w:color w:val="111827"/>
          <w:sz w:val="18"/>
        </w:rPr>
        <w:t>- Risk Tier: High, with zero readiness score.</w:t>
      </w:r>
    </w:p>
    <w:p>
      <w:pPr>
        <w:pStyle w:val="ListParagraph"/>
      </w:pPr>
      <w:r>
        <w:rPr>
          <w:b w:val="0"/>
          <w:color w:val="111827"/>
          <w:sz w:val="18"/>
        </w:rPr>
        <w:t>- No current projects, forms, or dependencies inventoried.</w:t>
      </w:r>
    </w:p>
    <w:p>
      <w:pPr>
        <w:pStyle w:val="ListParagraph"/>
      </w:pPr>
      <w:r>
        <w:rPr>
          <w:b w:val="0"/>
          <w:color w:val="111827"/>
          <w:sz w:val="18"/>
        </w:rPr>
        <w:t>- Focus on message brokering and client interactions.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High Risk: </w:t>
      </w:r>
      <w:r>
        <w:rPr>
          <w:b w:val="0"/>
          <w:color w:val="111827"/>
          <w:sz w:val="18"/>
        </w:rPr>
        <w:t>The project is classified as high risk due to zero readiness score.</w:t>
      </w:r>
    </w:p>
    <w:p>
      <w:pPr>
        <w:pStyle w:val="Heading2"/>
      </w:pPr>
      <w:r>
        <w:t>Recommended Modernization Strategy</w:t>
      </w:r>
    </w:p>
    <w:p>
      <w:r>
        <w:rPr>
          <w:b/>
          <w:color w:val="1F6B75"/>
          <w:sz w:val="20"/>
        </w:rPr>
        <w:t xml:space="preserve">Strangler Fig Pattern: </w:t>
      </w:r>
      <w:r>
        <w:rPr>
          <w:b w:val="0"/>
          <w:color w:val="111827"/>
          <w:sz w:val="20"/>
        </w:rPr>
        <w:t>Allows for incremental modernization without disrupting existing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Message processing</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identify risk areas and migration opportunities.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and modules for targeted modernization.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Capturing golden flows to ensure functional equivalence post-modernization.</w:t>
      </w:r>
    </w:p>
    <w:p>
      <w:r>
        <w:br w:type="page"/>
      </w:r>
    </w:p>
    <w:p>
      <w:pPr>
        <w:pStyle w:val="Heading1"/>
      </w:pPr>
      <w:r>
        <w:t>Section Q - Form Traceability Matrix</w:t>
      </w:r>
    </w:p>
    <w:p>
      <w:r>
        <w:rPr>
          <w:b w:val="0"/>
          <w:color w:val="6B7280"/>
          <w:sz w:val="18"/>
        </w:rPr>
        <w:t>Ensuring traceability of changes to maintain integrity and compliance.</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structured and efficient progress.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security vulnerabilities in SQL/data access logic.</w:t>
            </w:r>
          </w:p>
        </w:tc>
        <w:tc>
          <w:tcPr>
            <w:tcW w:type="dxa" w:w="2520"/>
          </w:tcPr>
          <w:p>
            <w:r/>
            <w:r>
              <w:rPr>
                <w:b w:val="0"/>
                <w:color w:val="111827"/>
                <w:sz w:val="16"/>
              </w:rPr>
              <w:t>Implement ORM to abstract and secure data access.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Concurrency issues in singleton classes.</w:t>
            </w:r>
          </w:p>
        </w:tc>
        <w:tc>
          <w:tcPr>
            <w:tcW w:type="dxa" w:w="2520"/>
            <w:shd w:val="clear" w:color="auto" w:fill="F3F4F6"/>
          </w:tcPr>
          <w:p>
            <w:r/>
            <w:r>
              <w:rPr>
                <w:b w:val="0"/>
                <w:color w:val="111827"/>
                <w:sz w:val="16"/>
              </w:rPr>
              <w:t>Ensure thread safety and proper concurrency management.</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Integration challenges with cloud-based services.</w:t>
            </w:r>
          </w:p>
        </w:tc>
        <w:tc>
          <w:tcPr>
            <w:tcW w:type="dxa" w:w="2520"/>
          </w:tcPr>
          <w:p>
            <w:r/>
            <w:r>
              <w:rPr>
                <w:b w:val="0"/>
                <w:color w:val="111827"/>
                <w:sz w:val="16"/>
              </w:rPr>
              <w:t>Conduct thorough integration testing and validation.</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artifact://legacy_inventory/1.0/art_legacy_inventory_092c3584862c453f</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artifact://repo_landscape/1.0/art_repo_landscape_008c54a294ea4291</w:t>
            </w:r>
          </w:p>
        </w:tc>
      </w:tr>
      <w:tr>
        <w:tc>
          <w:tcPr>
            <w:tcW w:type="dxa" w:w="5040"/>
          </w:tcPr>
          <w:p>
            <w:r/>
            <w:r>
              <w:rPr>
                <w:b w:val="0"/>
                <w:color w:val="111827"/>
                <w:sz w:val="16"/>
              </w:rPr>
              <w:t>scope_lock_ref</w:t>
            </w:r>
          </w:p>
        </w:tc>
        <w:tc>
          <w:tcPr>
            <w:tcW w:type="dxa" w:w="5040"/>
          </w:tcPr>
          <w:p>
            <w:r/>
            <w:r>
              <w:rPr>
                <w:b w:val="0"/>
                <w:color w:val="111827"/>
                <w:sz w:val="16"/>
              </w:rPr>
              <w:t>artifact://scope_lock/1.0/art_scope_lock_38095236ef2c4579</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artifact://variant_inventory/1.0/art_variant_inventory_e3883505fe244185</w:t>
            </w:r>
          </w:p>
        </w:tc>
      </w:tr>
      <w:tr>
        <w:tc>
          <w:tcPr>
            <w:tcW w:type="dxa" w:w="5040"/>
          </w:tcPr>
          <w:p>
            <w:r/>
            <w:r>
              <w:rPr>
                <w:b w:val="0"/>
                <w:color w:val="111827"/>
                <w:sz w:val="16"/>
              </w:rPr>
              <w:t>event_map_ref</w:t>
            </w:r>
          </w:p>
        </w:tc>
        <w:tc>
          <w:tcPr>
            <w:tcW w:type="dxa" w:w="5040"/>
          </w:tcPr>
          <w:p>
            <w:r/>
            <w:r>
              <w:rPr>
                <w:b w:val="0"/>
                <w:color w:val="111827"/>
                <w:sz w:val="16"/>
              </w:rPr>
              <w:t>artifact://event_map/1.0/art_event_map_a9aeeed2490e44aa</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artifact://sql_catalog/1.0/art_sql_catalog_463e7c04fb9b4178</w:t>
            </w:r>
          </w:p>
        </w:tc>
      </w:tr>
      <w:tr>
        <w:tc>
          <w:tcPr>
            <w:tcW w:type="dxa" w:w="5040"/>
          </w:tcPr>
          <w:p>
            <w:r/>
            <w:r>
              <w:rPr>
                <w:b w:val="0"/>
                <w:color w:val="111827"/>
                <w:sz w:val="16"/>
              </w:rPr>
              <w:t>sql_map_ref</w:t>
            </w:r>
          </w:p>
        </w:tc>
        <w:tc>
          <w:tcPr>
            <w:tcW w:type="dxa" w:w="5040"/>
          </w:tcPr>
          <w:p>
            <w:r/>
            <w:r>
              <w:rPr>
                <w:b w:val="0"/>
                <w:color w:val="111827"/>
                <w:sz w:val="16"/>
              </w:rPr>
              <w:t>artifact://sql_map/1.0/art_sql_map_b324721fc7c740b7</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artifact://data_access_map/1.0/art_data_access_map_a1c2bac8e8134ea0</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artifact://recordset_ops/1.0/art_recordset_ops_ca35ab88e85749f1</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artifact://procedure_summary/1.0/art_procedure_summary_55d34515b25d403f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artifact://form_dossier/1.0/art_form_dossier_3fcf52668c4044ce</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artifact://dependency_inventory/1.0/art_dependency_inventory_13cc140ef05c4d11</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artifact://dependency_inventory/1.0/art_dependency_inventory_13cc140ef05c4d11</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artifact://business_rule_catalog/1.0/art_business_rule_catalog_d135ad7be94e46fd</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artifact://detector_findings/1.0/art_detector_findings_c0f9b1bec24a4b8c</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artifact://risk_register/1.0/art_risk_register_0f4ad5201a604f70</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artifact://orphan_analysis/1.0/art_orphan_analysis_420fb4dd30e84b1b</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artifact://delivery_constitution/1.0/art_delivery_constitution_2e8abb19ac724ecf</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artifact://variant_diff_report/1.0/art_variant_diff_report_7cc006bc0b8d4488</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artifact://reporting_model/1.0/art_reporting_model_ba27ed353d94402f</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artifact://identity_access_model/1.0/art_identity_access_model_ed438b711f434354</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artifact://discover_review_checklist/1.0/art_discover_review_checklist_b7e9b58813c94978</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artifact://artifact_index/1.0/art_artifact_index_794e75a1c24b4645</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runctx://runctx-dd9d449ed4978942/kctx-dadd5810e15757ce</w:t>
            </w:r>
          </w:p>
        </w:tc>
      </w:tr>
      <w:tr>
        <w:tc>
          <w:tcPr>
            <w:tcW w:type="dxa" w:w="5040"/>
          </w:tcPr>
          <w:p>
            <w:r/>
            <w:r>
              <w:rPr>
                <w:b w:val="0"/>
                <w:color w:val="111827"/>
                <w:sz w:val="16"/>
              </w:rPr>
              <w:t>run_delivery_constitution_ref</w:t>
            </w:r>
          </w:p>
        </w:tc>
        <w:tc>
          <w:tcPr>
            <w:tcW w:type="dxa" w:w="5040"/>
          </w:tcPr>
          <w:p>
            <w:r/>
            <w:r>
              <w:rPr>
                <w:b w:val="0"/>
                <w:color w:val="111827"/>
                <w:sz w:val="16"/>
              </w:rPr>
              <w:t>runctx://runctx-dd9d449ed4978942/delivery_constitution/const-d3659a44dfd8</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