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A comprehensive guide to modernizing MagicBox using the Strangler Fig Pattern.</w:t>
      </w:r>
    </w:p>
    <w:p>
      <w:r>
        <w:rPr>
          <w:b w:val="0"/>
          <w:color w:val="6B7280"/>
          <w:sz w:val="18"/>
        </w:rPr>
        <w:t>Run 20260515_162752_54d0a911  ·  Generated 2026-05-15T20:28:33.586482+00:00  ·  Repo Synthetix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objectives and current project status.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verify that the ECA intake_documents flow into Architect, DP, UI-Scaffold, and Translator components, translating 15 methods without module filtering.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MagicBox Modernization project aims to ensure that ECA intake_documents seamlessly integrate into Architect, DP, UI-Scaffold, and Translator components. This involves translating 15 methods without module filtering, leveraging the Strangler Fig Pattern for a gradual transition. The project is currently at a readiness score of 45 with a medium risk tier. The strategy involves three phases: establishing baselines, incremental migration, and final hardening.</w:t>
      </w:r>
    </w:p>
    <w:p>
      <w:pPr>
        <w:pStyle w:val="ListParagraph"/>
      </w:pPr>
      <w:r>
        <w:rPr>
          <w:b w:val="0"/>
          <w:color w:val="111827"/>
          <w:sz w:val="18"/>
        </w:rPr>
        <w:t>- Objective: Verify ECA intake_documents flow into key components.</w:t>
      </w:r>
    </w:p>
    <w:p>
      <w:pPr>
        <w:pStyle w:val="ListParagraph"/>
      </w:pPr>
      <w:r>
        <w:rPr>
          <w:b w:val="0"/>
          <w:color w:val="111827"/>
          <w:sz w:val="18"/>
        </w:rPr>
        <w:t>- Translate 15 methods without module filtering.</w:t>
      </w:r>
    </w:p>
    <w:p>
      <w:pPr>
        <w:pStyle w:val="ListParagraph"/>
      </w:pPr>
      <w:r>
        <w:rPr>
          <w:b w:val="0"/>
          <w:color w:val="111827"/>
          <w:sz w:val="18"/>
        </w:rPr>
        <w:t>- Utilize Strangler Fig Pattern for gradual modernization.</w:t>
      </w:r>
    </w:p>
    <w:p>
      <w:pPr>
        <w:pStyle w:val="ListParagraph"/>
      </w:pPr>
      <w:r>
        <w:rPr>
          <w:b w:val="0"/>
          <w:color w:val="111827"/>
          <w:sz w:val="18"/>
        </w:rPr>
        <w:t>- Current readiness score is 45, with medium risk.</w:t>
      </w:r>
    </w:p>
    <w:p>
      <w:pPr>
        <w:pStyle w:val="ListParagraph"/>
      </w:pPr>
      <w:r>
        <w:rPr>
          <w:b w:val="0"/>
          <w:color w:val="111827"/>
          <w:sz w:val="18"/>
        </w:rPr>
        <w:t>- No current projects, forms, or dependencies inventoried.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45/100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Readiness Score: </w:t>
      </w:r>
      <w:r>
        <w:rPr>
          <w:b w:val="0"/>
          <w:color w:val="111827"/>
          <w:sz w:val="18"/>
        </w:rPr>
        <w:t>Current readiness score is 45.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gradual replacement of legacy components while maintaining system integrity.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Staffing &amp; Recruitment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of current dependencies and their impact on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dossiers on forms involved in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Staffing &amp; Recruitment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 must be approved before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Analysis of flow traces to ensure seamless integration.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across all modernization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sprints planned for incremental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risks associated with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loss during document flow integration.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comprehensive integration tests and logging.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artifact://legacy_inventory/1.0/art_legacy_inventory_084e744befec431f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artifact://repo_landscape/1.0/art_repo_landscape_317f8f86fd774f84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artifact://scope_lock/1.0/art_scope_lock_708c828b969e4b88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artifact://variant_inventory/1.0/art_variant_inventory_7c61abf6e6e14a97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artifact://event_map/1.0/art_event_map_4d641523e4a04ac1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artifact://sql_catalog/1.0/art_sql_catalog_15260f1eab9d4b23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artifact://sql_map/1.0/art_sql_map_49c27fa3a6e34af2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artifact://data_access_map/1.0/art_data_access_map_44130418f68e41f1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artifact://recordset_ops/1.0/art_recordset_ops_84fa72314f7f4bd0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artifact://procedure_summary/1.0/art_procedure_summary_22472b162f2444a3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artifact://form_dossier/1.0/art_form_dossier_ca938da90cec49d3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artifact://dependency_inventory/1.0/art_dependency_inventory_d41b06718a7f4e91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artifact://dependency_inventory/1.0/art_dependency_inventory_d41b06718a7f4e91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artifact://business_rule_catalog/1.0/art_business_rule_catalog_f5f4636048c846b4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artifact://detector_findings/1.0/art_detector_findings_2ba47507f8e743b8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artifact://risk_register/1.0/art_risk_register_fe511e665e2b4a9d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artifact://orphan_analysis/1.0/art_orphan_analysis_9ae517144bd046ef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artifact://delivery_constitution/1.0/art_delivery_constitution_0c64ff5cdb4e4bbd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artifact://variant_diff_report/1.0/art_variant_diff_report_713297ad291d4633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artifact://reporting_model/1.0/art_reporting_model_66b1ad2c761e4677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artifact://identity_access_model/1.0/art_identity_access_model_0c590967c6be4f1f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artifact://discover_review_checklist/1.0/art_discover_review_checklist_9a1f9fa9f0064815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artifact://artifact_index/1.0/art_artifact_index_1b3f79d34f6c4edb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runctx://runctx-4d01e7ac51cd64f4/kctx-6c852fcceab50a55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runctx://runctx-4d01e7ac51cd64f4/delivery_constitution/const-90b778973315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