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 Full-Stack Transformation Blueprint</w:t>
            </w:r>
          </w:p>
        </w:tc>
      </w:tr>
    </w:tbl>
    <w:p>
      <w:r>
        <w:rPr>
          <w:b/>
          <w:color w:val="1F6B75"/>
          <w:sz w:val="26"/>
        </w:rPr>
        <w:t>Legacy Modernization Scope</w:t>
      </w:r>
    </w:p>
    <w:p>
      <w:r>
        <w:rPr>
          <w:b w:val="0"/>
          <w:color w:val="111827"/>
          <w:sz w:val="20"/>
        </w:rPr>
        <w:t>Phased modernization strategy with UI scaffold adoption, JWM integration, and parallel translation capabilities for medium-risk legacy system transformation</w:t>
      </w:r>
    </w:p>
    <w:p>
      <w:r>
        <w:rPr>
          <w:b w:val="0"/>
          <w:color w:val="6B7280"/>
          <w:sz w:val="18"/>
        </w:rPr>
        <w:t>Run 20260513_101255_b25562ee  ·  Generated 2026-05-13T10:14:19.398795+00:00  ·  Repo app</w:t>
      </w:r>
    </w:p>
    <w:p/>
    <w:p>
      <w:pPr>
        <w:pStyle w:val="Heading1"/>
      </w:pPr>
      <w:r>
        <w:t>Executive Snapshot</w:t>
      </w:r>
    </w:p>
    <w:p>
      <w:r>
        <w:rPr>
          <w:b w:val="0"/>
          <w:color w:val="6B7280"/>
          <w:sz w:val="18"/>
        </w:rPr>
        <w:t>Overview of the phased modernization strategy targeting full-stack transformation with behavior preservation priorities and medium-risk mitigation controls.</w:t>
      </w:r>
    </w:p>
    <w:p>
      <w:r>
        <w:rPr>
          <w:b/>
          <w:color w:val="2E75B6"/>
          <w:sz w:val="20"/>
        </w:rPr>
        <w:t xml:space="preserve">Objective: </w:t>
      </w:r>
      <w:r>
        <w:rPr>
          <w:b w:val="0"/>
          <w:color w:val="111827"/>
          <w:sz w:val="20"/>
        </w:rPr>
        <w:t>Final full-stack — adopt-mode UI scaffold skip + JWM + helper + parallel translator + DP guards on Contractor.</w:t>
      </w:r>
    </w:p>
    <w:p>
      <w:r>
        <w:rPr>
          <w:b/>
          <w:color w:val="2E75B6"/>
          <w:sz w:val="20"/>
        </w:rPr>
        <w:t xml:space="preserve">Summary: </w:t>
      </w:r>
      <w:r>
        <w:rPr>
          <w:b w:val="0"/>
          <w:color w:val="111827"/>
          <w:sz w:val="20"/>
        </w:rPr>
        <w:t>Phased modernization recommended.</w:t>
      </w:r>
    </w:p>
    <w:p>
      <w:r>
        <w:rPr>
          <w:b w:val="0"/>
          <w:color w:val="111827"/>
          <w:sz w:val="20"/>
        </w:rPr>
        <w:t>This modernization initiative targets a legacy system with a readiness score of 60 and medium risk tier classification. The project employs a phased modernization strategy designed to preserve existing behavior while systematically transforming the full-stack architecture. The approach begins with baseline capture and equivalence harness establishment, progresses through incremental migration with dependency risk controls, and concludes with hardening and release evidence compilation. Key technical components include adopt-mode UI scaffold implementation, JWM integration, helper utilities, parallel translator functionality, and DP guards on contractor elements. The strategy prioritizes behavior preservation in early phases before introducing modernization enhancements in controlled increments.</w:t>
      </w:r>
    </w:p>
    <w:p>
      <w:pPr>
        <w:pStyle w:val="ListParagraph"/>
      </w:pPr>
      <w:r>
        <w:rPr>
          <w:b w:val="0"/>
          <w:color w:val="111827"/>
          <w:sz w:val="18"/>
        </w:rPr>
        <w:t>- Phased modernization approach ensures behavior preservation during full-stack transformation</w:t>
      </w:r>
    </w:p>
    <w:p>
      <w:pPr>
        <w:pStyle w:val="ListParagraph"/>
      </w:pPr>
      <w:r>
        <w:rPr>
          <w:b w:val="0"/>
          <w:color w:val="111827"/>
          <w:sz w:val="18"/>
        </w:rPr>
        <w:t>- Medium risk tier with 60% readiness score requires controlled migration with dependency risk controls</w:t>
      </w:r>
    </w:p>
    <w:p>
      <w:pPr>
        <w:pStyle w:val="ListParagraph"/>
      </w:pPr>
      <w:r>
        <w:rPr>
          <w:b w:val="0"/>
          <w:color w:val="111827"/>
          <w:sz w:val="18"/>
        </w:rPr>
        <w:t>- Technical stack includes UI scaffold, JWM integration, parallel translator, and DP guards</w:t>
      </w:r>
    </w:p>
    <w:p>
      <w:pPr>
        <w:pStyle w:val="ListParagraph"/>
      </w:pPr>
      <w:r>
        <w:rPr>
          <w:b w:val="0"/>
          <w:color w:val="111827"/>
          <w:sz w:val="18"/>
        </w:rPr>
        <w:t>- Three-phase strategy: baseline capture, incremental migration, and hardening with evidence pack</w:t>
      </w:r>
    </w:p>
    <w:p>
      <w:pPr>
        <w:pStyle w:val="ListParagraph"/>
      </w:pPr>
      <w:r>
        <w:rPr>
          <w:b w:val="0"/>
          <w:color w:val="111827"/>
          <w:sz w:val="18"/>
        </w:rPr>
        <w:t>- Zero current inventory baseline provides clean slate for modernization implementation</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Risk Assessment: </w:t>
      </w:r>
      <w:r>
        <w:rPr>
          <w:b w:val="0"/>
          <w:color w:val="111827"/>
          <w:sz w:val="18"/>
        </w:rPr>
        <w:t>Medium risk tier classification requires enhanced monitoring and controlled rollout phases with comprehensive dependency risk controls</w:t>
      </w:r>
    </w:p>
    <w:p>
      <w:r>
        <w:rPr>
          <w:b/>
          <w:color w:val="2E75B6"/>
          <w:sz w:val="18"/>
        </w:rPr>
        <w:t xml:space="preserve">Readiness Gap: </w:t>
      </w:r>
      <w:r>
        <w:rPr>
          <w:b w:val="0"/>
          <w:color w:val="111827"/>
          <w:sz w:val="18"/>
        </w:rPr>
        <w:t>60% readiness score indicates preparation work needed before full modernization implementation can proceed</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system dependencies and risk controls required for incremental migration phases with parallel translator and DP guard implementations.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 structures and UI scaffold adoption patterns for systematic migration from legacy to modernized interface components.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Baseline capture methodology and golden flow documentation to ensure behavior equivalence throughout the transformation process.</w:t>
      </w:r>
    </w:p>
    <w:p>
      <w:r>
        <w:br w:type="page"/>
      </w:r>
    </w:p>
    <w:p>
      <w:pPr>
        <w:pStyle w:val="Heading1"/>
      </w:pPr>
      <w:r>
        <w:t>Section Q - Form Traceability Matrix</w:t>
      </w:r>
    </w:p>
    <w:p>
      <w:r>
        <w:rPr>
          <w:b w:val="0"/>
          <w:color w:val="6B7280"/>
          <w:sz w:val="18"/>
        </w:rPr>
        <w:t>Requirements mapping and evidence tracking across all three phases from baseline establishment through final hardening and release.</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Incremental delivery planning aligned with phased strategy milestones and exit criteria for controlled modernization progression.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Medium-tier risk assessment with dependency controls, readiness gap mitigation, and quality gate enforcement strategies.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artifact://legacy_inventory/1.0/art_legacy_inventory_922a082751f94e15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artifact://repo_landscape/1.0/art_repo_landscape_97449c455acd4a85</w:t>
            </w:r>
          </w:p>
        </w:tc>
      </w:tr>
      <w:tr>
        <w:tc>
          <w:tcPr>
            <w:tcW w:type="dxa" w:w="5040"/>
          </w:tcPr>
          <w:p>
            <w:r/>
            <w:r>
              <w:rPr>
                <w:b w:val="0"/>
                <w:color w:val="111827"/>
                <w:sz w:val="16"/>
              </w:rPr>
              <w:t>scope_lock_ref</w:t>
            </w:r>
          </w:p>
        </w:tc>
        <w:tc>
          <w:tcPr>
            <w:tcW w:type="dxa" w:w="5040"/>
          </w:tcPr>
          <w:p>
            <w:r/>
            <w:r>
              <w:rPr>
                <w:b w:val="0"/>
                <w:color w:val="111827"/>
                <w:sz w:val="16"/>
              </w:rPr>
              <w:t>artifact://scope_lock/1.0/art_scope_lock_e7ad551681004b6e</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artifact://variant_inventory/1.0/art_variant_inventory_8f5baf79d2c04049</w:t>
            </w:r>
          </w:p>
        </w:tc>
      </w:tr>
      <w:tr>
        <w:tc>
          <w:tcPr>
            <w:tcW w:type="dxa" w:w="5040"/>
          </w:tcPr>
          <w:p>
            <w:r/>
            <w:r>
              <w:rPr>
                <w:b w:val="0"/>
                <w:color w:val="111827"/>
                <w:sz w:val="16"/>
              </w:rPr>
              <w:t>event_map_ref</w:t>
            </w:r>
          </w:p>
        </w:tc>
        <w:tc>
          <w:tcPr>
            <w:tcW w:type="dxa" w:w="5040"/>
          </w:tcPr>
          <w:p>
            <w:r/>
            <w:r>
              <w:rPr>
                <w:b w:val="0"/>
                <w:color w:val="111827"/>
                <w:sz w:val="16"/>
              </w:rPr>
              <w:t>artifact://event_map/1.0/art_event_map_5663bc96b24f4ad9</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artifact://sql_catalog/1.0/art_sql_catalog_a9d534173e244697</w:t>
            </w:r>
          </w:p>
        </w:tc>
      </w:tr>
      <w:tr>
        <w:tc>
          <w:tcPr>
            <w:tcW w:type="dxa" w:w="5040"/>
          </w:tcPr>
          <w:p>
            <w:r/>
            <w:r>
              <w:rPr>
                <w:b w:val="0"/>
                <w:color w:val="111827"/>
                <w:sz w:val="16"/>
              </w:rPr>
              <w:t>sql_map_ref</w:t>
            </w:r>
          </w:p>
        </w:tc>
        <w:tc>
          <w:tcPr>
            <w:tcW w:type="dxa" w:w="5040"/>
          </w:tcPr>
          <w:p>
            <w:r/>
            <w:r>
              <w:rPr>
                <w:b w:val="0"/>
                <w:color w:val="111827"/>
                <w:sz w:val="16"/>
              </w:rPr>
              <w:t>artifact://sql_map/1.0/art_sql_map_0fff94c142a440b2</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artifact://data_access_map/1.0/art_data_access_map_59e0850e079d4fd8</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artifact://recordset_ops/1.0/art_recordset_ops_fbee2b05731e401e</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artifact://procedure_summary/1.0/art_procedure_summary_c0f3953bf496439a</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artifact://form_dossier/1.0/art_form_dossier_b36b199e7a344b90</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artifact://dependency_inventory/1.0/art_dependency_inventory_c72c7cd5091a49e3</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artifact://dependency_inventory/1.0/art_dependency_inventory_c72c7cd5091a49e3</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artifact://business_rule_catalog/1.0/art_business_rule_catalog_1116ccfe1c5741cf</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artifact://detector_findings/1.0/art_detector_findings_03a08cd94983432d</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artifact://risk_register/1.0/art_risk_register_07a2f81544fc4fda</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artifact://orphan_analysis/1.0/art_orphan_analysis_4d8dac3b2c264d0e</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artifact://delivery_constitution/1.0/art_delivery_constitution_d6917283ac664321</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artifact://variant_diff_report/1.0/art_variant_diff_report_5279576a0a67421b</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artifact://reporting_model/1.0/art_reporting_model_aa1549fc12a5480c</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artifact://identity_access_model/1.0/art_identity_access_model_04079b65bf84428f</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artifact://discover_review_checklist/1.0/art_discover_review_checklist_9e4fdbfd1cb246a7</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artifact://artifact_index/1.0/art_artifact_index_ee7176d07e294d34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runctx://runctx-dca398b266e1e715/kctx-9902e42d32f8c0bb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runctx://runctx-dca398b266e1e715/delivery_constitution/const-aceff09db3c8</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