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Caching Modernization Workbook</w:t>
            </w:r>
          </w:p>
        </w:tc>
      </w:tr>
    </w:tbl>
    <w:p>
      <w:r>
        <w:rPr>
          <w:b/>
          <w:color w:val="1F6B75"/>
          <w:sz w:val="26"/>
        </w:rPr>
        <w:t>MagicBox Caching Modernization</w:t>
      </w:r>
    </w:p>
    <w:p>
      <w:r>
        <w:rPr>
          <w:b w:val="0"/>
          <w:color w:val="111827"/>
          <w:sz w:val="20"/>
        </w:rPr>
        <w:t>A strategic guide to modernizing the MagicBox codebase with advanced caching mechanisms.</w:t>
      </w:r>
    </w:p>
    <w:p>
      <w:r>
        <w:rPr>
          <w:b w:val="0"/>
          <w:color w:val="6B7280"/>
          <w:sz w:val="18"/>
        </w:rPr>
        <w:t>Run 20260513_174850_462e67de  ·  Generated 2026-05-13T17:49:39.095657+00:00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strategy, objectives, and current risk assessment.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codebase with a focus on implementing caching mechanisms using Anthropic cache_control and OpenAI auto-prefix cache.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Caching Modernization project aims to revamp the existing codebase by integrating cutting-edge caching solutions, specifically leveraging Anthropic cache_control and OpenAI auto-prefix cache. This initiative is critical given the current readiness score of 40 and a high-risk tier. By employing the Strangler Fig Pattern, the project ensures a seamless transition, preserving existing functionalities while introducing new capabilities. The strategy is divided into three phases: establishing a baseline, executing incremental migrations, and finalizing the release with robust quality checks.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with Anthropic and OpenAI caching.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40, indicating significant work ahead.</w:t>
      </w:r>
    </w:p>
    <w:p>
      <w:pPr>
        <w:pStyle w:val="ListParagraph"/>
      </w:pPr>
      <w:r>
        <w:rPr>
          <w:b w:val="0"/>
          <w:color w:val="111827"/>
          <w:sz w:val="18"/>
        </w:rPr>
        <w:t>- High-risk tier necessitates careful planning and execution.</w:t>
      </w:r>
    </w:p>
    <w:p>
      <w:pPr>
        <w:pStyle w:val="ListParagraph"/>
      </w:pPr>
      <w:r>
        <w:rPr>
          <w:b w:val="0"/>
          <w:color w:val="111827"/>
          <w:sz w:val="18"/>
        </w:rPr>
        <w:t>- Strangler Fig Pattern ensures gradual, non-disruptive migration.</w:t>
      </w:r>
    </w:p>
    <w:p>
      <w:pPr>
        <w:pStyle w:val="ListParagraph"/>
      </w:pPr>
      <w:r>
        <w:rPr>
          <w:b w:val="0"/>
          <w:color w:val="111827"/>
          <w:sz w:val="18"/>
        </w:rPr>
        <w:t>- Three-phase strategy: baseline,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Alert: </w:t>
      </w:r>
      <w:r>
        <w:rPr>
          <w:b w:val="0"/>
          <w:color w:val="111827"/>
          <w:sz w:val="18"/>
        </w:rPr>
        <w:t>High-risk tier requires immediate attention and mitigation strategies.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migration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potential migration challenges.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 and their current state.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existing data flows to ensure baseline accuracy.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all changes are traceable to maintain integrity and accountability.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designed to achieve incremental modernization goals.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Comprehensive risk assessment and mitigation strategies for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inconsistency due to caching.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strong cache invalidation policies.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Increased complexity in debugging due to caching layers.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Enhance logging and monitoring for cache operations.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artifact://legacy_inventory/1.0/art_legacy_inventory_631c9c511fbd4bcf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artifact://repo_landscape/1.0/art_repo_landscape_b86f23a619874a07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artifact://scope_lock/1.0/art_scope_lock_61274e82f8df48ba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artifact://variant_inventory/1.0/art_variant_inventory_19160ddecc81420a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artifact://event_map/1.0/art_event_map_77edb00223654cfb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artifact://sql_catalog/1.0/art_sql_catalog_288e3ba9780b4ad4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artifact://sql_map/1.0/art_sql_map_4d5211e86aa446d4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artifact://data_access_map/1.0/art_data_access_map_5bfaa6c970aa4c88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artifact://recordset_ops/1.0/art_recordset_ops_90fb0817a04e499f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artifact://procedure_summary/1.0/art_procedure_summary_2d16618781114d2f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artifact://form_dossier/1.0/art_form_dossier_4bfc101fdd0647da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artifact://dependency_inventory/1.0/art_dependency_inventory_8f2bfce910244a18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artifact://dependency_inventory/1.0/art_dependency_inventory_8f2bfce910244a18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artifact://business_rule_catalog/1.0/art_business_rule_catalog_3b207a3549374118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artifact://detector_findings/1.0/art_detector_findings_ee51ec4e8e8f4910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artifact://risk_register/1.0/art_risk_register_af08b1fbd9554995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artifact://orphan_analysis/1.0/art_orphan_analysis_525b9e175bc5460d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artifact://delivery_constitution/1.0/art_delivery_constitution_b9776cca8bd5430e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artifact://variant_diff_report/1.0/art_variant_diff_report_20255207d58e4518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artifact://reporting_model/1.0/art_reporting_model_5707f85a7be3448e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artifact://identity_access_model/1.0/art_identity_access_model_6f473109054849b6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artifact://discover_review_checklist/1.0/art_discover_review_checklist_2dbdb5fca1f84435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artifact://artifact_index/1.0/art_artifact_index_f682c99f67f74387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runctx://runctx-d190064334c3b578/kctx-9902e42d32f8c0bb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runctx://runctx-d190064334c3b578/delivery_constitution/const-6b6423bb6442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