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MagicBox Modernization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334155"/>
          <w:sz w:val="40"/>
          <w:szCs w:val="40"/>
        </w:rPr>
        <w:t xml:space="preserve">Technical Workbook</w:t>
      </w:r>
    </w:p>
    <w:p>
      <w:pPr>
        <w:pBdr>
          <w:bottom w:val="single" w:color="334155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Developer Reference — Migration Engineering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2026-05-12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Internal — Engineering Use Only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Index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Linked index for quick navigation across workbook sections.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Project Inventory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Current technical analysis covers 0 LOC across 0 files in the selected analysis scope. Unless the scope lock explicitly states full-repository coverage, this workbook should be treated as the current analyzed slice rather than the entire application.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Project variants analysed from the repository. Member counts include forms and modules. Source LOC scanned: 0 (forms: 0, modules: 0, classes: 0, designers: 0) across 0 files. Forms are shown as mapped/discovered to expose excluded/unresolved form files.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1200"/>
        <w:gridCol w:w="800"/>
        <w:gridCol w:w="1300"/>
        <w:gridCol w:w="700"/>
        <w:gridCol w:w="900"/>
        <w:gridCol w:w="1100"/>
        <w:gridCol w:w="13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Startup</w:t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Members</w:t>
            </w:r>
          </w:p>
        </w:tc>
        <w:tc>
          <w:tcPr>
            <w:tcW w:type="dxa" w:w="1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Forms (Mapped/Discovered)</w:t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LOC</w:t>
            </w:r>
          </w:p>
        </w:tc>
        <w:tc>
          <w:tcPr>
            <w:tcW w:type="dxa" w:w="1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Tables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Static Forensics Addendum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Static forensics signals summarize code-only findings that support discovery, including source database clues, connection-string variants, dead-form references, global module state, and related static evidence.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Deterministic static-analysis outputs from Discover used to support schema archaeology, traceability, and migration planning.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MDB / Access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MDB/ACCDB files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Connection String Variants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connection-string variants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Module Global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inferred module globals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Dead Form References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unresolved form references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DataEnvironment / Report Mapping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DataEnvironment/report mappings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Static Risk Detectors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static detector findings emitted.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Form and Dependency Inventory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Active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Active forms are the canonical in-scope form members associated with the resolved project set. Use this table as the authoritative form/file inventory for the technical workbook.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active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Orphan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Orphan forms were discovered in the repository but are not active project members for the analyzed build. They are retained here for technical review only.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orphan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K-Tech Technical Matrix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Technical matrix for active forms only: form type, ActiveX usage, DB tables, action count, and coverage/confidence.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600"/>
        <w:gridCol w:w="1800"/>
        <w:gridCol w:w="1400"/>
        <w:gridCol w:w="600"/>
        <w:gridCol w:w="1440"/>
      </w:tblGrid>
      <w:tr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 Dependencies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 Tables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  <w:tc>
          <w:tcPr>
            <w:tcW w:type="dxa" w:w="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Cov%</w:t>
            </w:r>
          </w:p>
        </w:tc>
        <w:tc>
          <w:tcPr>
            <w:tcW w:type="dxa" w:w="14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External Dependencies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external dependencies (OCX, DLL, COM references) discovered across projects. GUID is used for COM registration lookup. Migration action indicates recommended replacement strategy.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2200"/>
        <w:gridCol w:w="2200"/>
        <w:gridCol w:w="900"/>
        <w:gridCol w:w="20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GUID / Reference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By Forms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2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Migration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SQL Catalog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SQL operations discovered in source code, indexed by form and handler. Operations classified by type (SELECT/INSERT/UPDATE/DELETE). Basis for data access layer design in the migrated system.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SQL operations detected.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Form Flow Traces (P)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Per-form callable trace: each event handler and procedure with its kind, triggering event, ActiveX dependency, SQL operations executed, and table touchpoints. TRACE_GAP = the tool found a likely callable/flow context, but deterministic evidence was insufficient to prove the full SQL/table lineage. It does not mean the flow is absent; it means traceability remains incomplete and requires review.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Dependency Map (O)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Inter-form navigation links, shared module calls, and cross-variant schema conflicts used for technical dependency analysis and sequencing.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Navigation Links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navigation links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Shared Module Calls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shared module calls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Cross-Variant Schema Conflicts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cross-variant schema conflicts detected.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Risk Register — Technical Detail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risks flagged during analysis. Engineering team to review and confirm remediation approach for each. High severity items are hard blockers for production go-live.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240"/>
        <w:gridCol w:w="2500"/>
      </w:tblGrid>
      <w:tr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2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Technical Description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Detector Findings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Automated detector findings from the analysis platform — patterns flagged for engineering review.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7340"/>
          <w:sz w:val="18"/>
          <w:szCs w:val="18"/>
        </w:rPr>
        <w:t xml:space="preserve">No detector findings recorded.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9. Data Validation Details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Field-level validation details inferred from active-form inputs and business-rule signals. These details define expected format, mandatory checks, and acceptable values where evidence exists.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field-level validation signals were derived from the current form inventory.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10. Data Security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Business and technical security controls that must be preserved or strengthened in the migrated solution, including data access protection and credential handling.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explicit application-layer security controls were extracted. Preserve current data protections and validate encryption, credential handling, and database access controls during target design.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11. Third-Party Integration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Third-party components and local data-store integrations discovered in the legacy solution. This section documents APIs, OCX/DLL dependencies, and MDB-related exchange surfaces where present.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third-party components or explicit external integration surfaces were extracted beyond intrinsic VB runtime behavior.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12. UI Control Coverage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Observed selection/list controls and UI-input coverage inferred from the legacy form inventory. This is intended to highlight business-critical combobox/list inputs that must be preserved in the target UX.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raw selection/list controls were recovered from the current MD. If combobox/list values are business-critical, confirm them from the legacy form designers before migration.</w:t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34155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Internal — Engineering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34155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Modernization — VB6 Modernization BRD — Technical Workbook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Synthetix AI Platform — Developer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334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2026-05-12T18:23:03.290Z</dcterms:created>
  <dcterms:modified xsi:type="dcterms:W3CDTF">2026-05-12T18:23:03.290Z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