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the MagicBox platform using .NET.</w:t>
      </w:r>
    </w:p>
    <w:p>
      <w:r>
        <w:rPr>
          <w:b w:val="0"/>
          <w:color w:val="6B7280"/>
          <w:sz w:val="18"/>
        </w:rPr>
        <w:t>Run 20260513_191922_605038aa  ·  Generated 2026-05-13T19:20:18.477005+00:00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project objectives.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MagicBox platform by translating its staffing and placement functionalities into a .NET environment, ensuring parity with the existing architecture.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transition the platform's staffing and placement functionalities to a .NET environment. This modernization ensures that the new system maintains parity with the existing architecture while leveraging the Strangler Fig Pattern. This approach allows for a gradual replacement of legacy components, ensuring continuous system functionality. The project is structured into three phases: establishing baselines, incremental migration, and final hardening. Each phase is designed to mitigate risks and ensure a smooth transition.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MagicBox to .NET with architectural parity.</w:t>
      </w:r>
    </w:p>
    <w:p>
      <w:pPr>
        <w:pStyle w:val="ListParagraph"/>
      </w:pPr>
      <w:r>
        <w:rPr>
          <w:b w:val="0"/>
          <w:color w:val="111827"/>
          <w:sz w:val="18"/>
        </w:rPr>
        <w:t>- Strategy: Use Strangler Fig Pattern for gradual component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zero readiness score.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inventoried.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High Risk: </w:t>
      </w:r>
      <w:r>
        <w:rPr>
          <w:b w:val="0"/>
          <w:color w:val="111827"/>
          <w:sz w:val="18"/>
        </w:rPr>
        <w:t>The project is classified as high risk due to zero readiness score.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while maintaining system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Finance,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migration paths.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for migration and risk assessment.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formula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Shared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Placement approval requires co-approval from office leader.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and analyzing golden flows for baseline establishment.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throughout the project lifecycle.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incremental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validation and backup procedures.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in the new environment.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performance testing and optimize code as needed.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Security vulnerabilities in the new system.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Perform regular security assessments and apply patches promptly.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artifact://legacy_inventory/1.0/art_legacy_inventory_b105ac764e2a40ef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artifact://repo_landscape/1.0/art_repo_landscape_eb39ddf6cd8743aa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artifact://scope_lock/1.0/art_scope_lock_0605dbf1e87748bb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artifact://variant_inventory/1.0/art_variant_inventory_f67410d239754720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artifact://event_map/1.0/art_event_map_ccee31181180499d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artifact://sql_catalog/1.0/art_sql_catalog_0ef20b805bf046a0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artifact://sql_map/1.0/art_sql_map_3442c820c9a541d2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artifact://data_access_map/1.0/art_data_access_map_bb32cf8c786e4f7d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artifact://recordset_ops/1.0/art_recordset_ops_322fdb5db23b4610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artifact://procedure_summary/1.0/art_procedure_summary_31ef57dd28304e05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artifact://form_dossier/1.0/art_form_dossier_8a358dd82b6a4b5c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artifact://dependency_inventory/1.0/art_dependency_inventory_8fc4665ebf324430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artifact://dependency_inventory/1.0/art_dependency_inventory_8fc4665ebf324430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artifact://business_rule_catalog/1.0/art_business_rule_catalog_0a8b8f34a6bc49ca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artifact://detector_findings/1.0/art_detector_findings_993365c7de72488e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artifact://risk_register/1.0/art_risk_register_589b10e298c64f3d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artifact://orphan_analysis/1.0/art_orphan_analysis_56f0e98d55d34af0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artifact://delivery_constitution/1.0/art_delivery_constitution_575e4355f5f742da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artifact://variant_diff_report/1.0/art_variant_diff_report_a036c13b648f43cc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artifact://reporting_model/1.0/art_reporting_model_a48f176eb0b449cb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artifact://identity_access_model/1.0/art_identity_access_model_e9074a5578d64805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artifact://discover_review_checklist/1.0/art_discover_review_checklist_9da093ecedcb4962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artifact://artifact_index/1.0/art_artifact_index_dacc4bcce6b945f4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runctx://runctx-d2f420e942faf4e3/kctx-9902e42d32f8c0bb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runctx://runctx-d2f420e942faf4e3/delivery_constitution/const-c8516d8d2e9f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