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Guidance for Implementing Helper Code Refusal Propagation and Addressing H11</w:t>
      </w:r>
    </w:p>
    <w:p>
      <w:r>
        <w:rPr>
          <w:b w:val="0"/>
          <w:color w:val="6B7280"/>
          <w:sz w:val="18"/>
        </w:rPr>
        <w:t>Run 20260513_150620_012a693d  ·  Generated 2026-05-13T15:07:01.803809+00:00  ·  Repo app</w:t>
      </w:r>
    </w:p>
    <w:p/>
    <w:p>
      <w:pPr>
        <w:pStyle w:val="Heading1"/>
      </w:pPr>
      <w:r>
        <w:t>Executive Snapshot</w:t>
      </w:r>
    </w:p>
    <w:p>
      <w:r>
        <w:rPr>
          <w:b w:val="0"/>
          <w:color w:val="6B7280"/>
          <w:sz w:val="18"/>
        </w:rPr>
        <w:t>Overview of the modernization objectives and strategic approach.</w:t>
      </w:r>
    </w:p>
    <w:p>
      <w:r>
        <w:rPr>
          <w:b/>
          <w:color w:val="2E75B6"/>
          <w:sz w:val="20"/>
        </w:rPr>
        <w:t xml:space="preserve">Objective: </w:t>
      </w:r>
      <w:r>
        <w:rPr>
          <w:b w:val="0"/>
          <w:color w:val="111827"/>
          <w:sz w:val="20"/>
        </w:rPr>
        <w:t>The objective is to modernize the codebase by implementing helper code refusal propagation and addressing H11, ensuring robust error handling and observability.</w:t>
      </w:r>
    </w:p>
    <w:p>
      <w:r>
        <w:rPr>
          <w:b/>
          <w:color w:val="2E75B6"/>
          <w:sz w:val="20"/>
        </w:rPr>
        <w:t xml:space="preserve">Summary: </w:t>
      </w:r>
      <w:r>
        <w:rPr>
          <w:b w:val="0"/>
          <w:color w:val="111827"/>
          <w:sz w:val="20"/>
        </w:rPr>
        <w:t>Phased UI Migration recommended.</w:t>
      </w:r>
    </w:p>
    <w:p>
      <w:r>
        <w:rPr>
          <w:b w:val="0"/>
          <w:color w:val="111827"/>
          <w:sz w:val="20"/>
        </w:rPr>
        <w:t>The MagicBox Modernization project aims to revitalize the existing codebase by introducing helper code refusal propagation and addressing the H11 issue. This initiative focuses on enhancing error handling and observability, ensuring a robust and reliable system. The strategy involves a phased UI migration, allowing a gradual transition to new technologies while maintaining current functionality. Each phase is designed to mitigate risks and ensure a seamless integration of modern practices.</w:t>
      </w:r>
    </w:p>
    <w:p>
      <w:pPr>
        <w:pStyle w:val="ListParagraph"/>
      </w:pPr>
      <w:r>
        <w:rPr>
          <w:b w:val="0"/>
          <w:color w:val="111827"/>
          <w:sz w:val="18"/>
        </w:rPr>
        <w:t>- Objective: Modernize codebase with helper code refusal propagation.</w:t>
      </w:r>
    </w:p>
    <w:p>
      <w:pPr>
        <w:pStyle w:val="ListParagraph"/>
      </w:pPr>
      <w:r>
        <w:rPr>
          <w:b w:val="0"/>
          <w:color w:val="111827"/>
          <w:sz w:val="18"/>
        </w:rPr>
        <w:t>- Address H11 for improved error handling and observability.</w:t>
      </w:r>
    </w:p>
    <w:p>
      <w:pPr>
        <w:pStyle w:val="ListParagraph"/>
      </w:pPr>
      <w:r>
        <w:rPr>
          <w:b w:val="0"/>
          <w:color w:val="111827"/>
          <w:sz w:val="18"/>
        </w:rPr>
        <w:t>- Phased UI Migration strategy for gradual technology transition.</w:t>
      </w:r>
    </w:p>
    <w:p>
      <w:pPr>
        <w:pStyle w:val="ListParagraph"/>
      </w:pPr>
      <w:r>
        <w:rPr>
          <w:b w:val="0"/>
          <w:color w:val="111827"/>
          <w:sz w:val="18"/>
        </w:rPr>
        <w:t>- High risk tier with readiness score of 0.</w:t>
      </w:r>
    </w:p>
    <w:p>
      <w:pPr>
        <w:pStyle w:val="ListParagraph"/>
      </w:pPr>
      <w:r>
        <w:rPr>
          <w:b w:val="0"/>
          <w:color w:val="111827"/>
          <w:sz w:val="18"/>
        </w:rPr>
        <w:t>- No current projects, forms, or dependencies in inventory.</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Tier: </w:t>
      </w:r>
      <w:r>
        <w:rPr>
          <w:b w:val="0"/>
          <w:color w:val="111827"/>
          <w:sz w:val="18"/>
        </w:rPr>
        <w:t>The project is classified as high risk.</w:t>
      </w:r>
    </w:p>
    <w:p>
      <w:pPr>
        <w:pStyle w:val="Heading2"/>
      </w:pPr>
      <w:r>
        <w:t>Recommended Modernization Strategy</w:t>
      </w:r>
    </w:p>
    <w:p>
      <w:r>
        <w:rPr>
          <w:b/>
          <w:color w:val="1F6B75"/>
          <w:sz w:val="20"/>
        </w:rPr>
        <w:t xml:space="preserve">Phased UI Migration: </w:t>
      </w:r>
      <w:r>
        <w:rPr>
          <w:b w:val="0"/>
          <w:color w:val="111827"/>
          <w:sz w:val="20"/>
        </w:rPr>
        <w:t>Allows gradual transition to new technologies while maintaining existing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(12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process</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current dependencies to identify modernization impact.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for migration readiness.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process</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 must be approved by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for baseline outputs.</w:t>
      </w:r>
    </w:p>
    <w:p>
      <w:r>
        <w:br w:type="page"/>
      </w:r>
    </w:p>
    <w:p>
      <w:pPr>
        <w:pStyle w:val="Heading1"/>
      </w:pPr>
      <w:r>
        <w:t>Section Q - Form Traceability Matrix</w:t>
      </w:r>
    </w:p>
    <w:p>
      <w:r>
        <w:rPr>
          <w:b w:val="0"/>
          <w:color w:val="6B7280"/>
          <w:sz w:val="18"/>
        </w:rPr>
        <w:t>Ensure traceability throughout the modernization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activities aligned with phased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potential risks and mitigation strategies.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F3C7"/>
          </w:tcPr>
          <w:p>
            <w:r/>
            <w:r>
              <w:rPr>
                <w:b w:val="0"/>
                <w:color w:val="111827"/>
                <w:sz w:val="16"/>
              </w:rPr>
              <w:t>MEDIUM</w:t>
            </w:r>
          </w:p>
        </w:tc>
        <w:tc>
          <w:tcPr>
            <w:tcW w:type="dxa" w:w="2520"/>
          </w:tcPr>
          <w:p>
            <w:r/>
            <w:r>
              <w:rPr>
                <w:b w:val="0"/>
                <w:color w:val="111827"/>
                <w:sz w:val="16"/>
              </w:rPr>
              <w:t>Potential performance degradation due to new monitoring tools.</w:t>
            </w:r>
          </w:p>
        </w:tc>
        <w:tc>
          <w:tcPr>
            <w:tcW w:type="dxa" w:w="2520"/>
          </w:tcPr>
          <w:p>
            <w:r/>
            <w:r>
              <w:rPr>
                <w:b w:val="0"/>
                <w:color w:val="111827"/>
                <w:sz w:val="16"/>
              </w:rPr>
              <w:t>Conduct performance testing to ensure minimal impact.</w:t>
            </w:r>
          </w:p>
        </w:tc>
      </w:tr>
      <w:tr>
        <w:tc>
          <w:tcPr>
            <w:tcW w:type="dxa" w:w="2520"/>
            <w:shd w:val="clear" w:color="auto" w:fill="F3F4F6"/>
          </w:tcPr>
          <w:p>
            <w:r/>
            <w:r>
              <w:rPr>
                <w:b w:val="0"/>
                <w:color w:val="111827"/>
                <w:sz w:val="16"/>
              </w:rPr>
              <w:t>RISK-2</w:t>
            </w:r>
          </w:p>
        </w:tc>
        <w:tc>
          <w:tcPr>
            <w:tcW w:type="dxa" w:w="2520"/>
            <w:shd w:val="clear" w:color="auto" w:fill="F3F4F6"/>
            <w:shd w:val="clear" w:color="auto" w:fill="FEE2E2"/>
          </w:tcPr>
          <w:p>
            <w:r/>
            <w:r>
              <w:rPr>
                <w:b w:val="0"/>
                <w:color w:val="111827"/>
                <w:sz w:val="16"/>
              </w:rPr>
              <w:t>HIGH</w:t>
            </w:r>
          </w:p>
        </w:tc>
        <w:tc>
          <w:tcPr>
            <w:tcW w:type="dxa" w:w="2520"/>
            <w:shd w:val="clear" w:color="auto" w:fill="F3F4F6"/>
          </w:tcPr>
          <w:p>
            <w:r/>
            <w:r>
              <w:rPr>
                <w:b w:val="0"/>
                <w:color w:val="111827"/>
                <w:sz w:val="16"/>
              </w:rPr>
              <w:t>Security risks from logging sensitive error data.</w:t>
            </w:r>
          </w:p>
        </w:tc>
        <w:tc>
          <w:tcPr>
            <w:tcW w:type="dxa" w:w="2520"/>
            <w:shd w:val="clear" w:color="auto" w:fill="F3F4F6"/>
          </w:tcPr>
          <w:p>
            <w:r/>
            <w:r>
              <w:rPr>
                <w:b w:val="0"/>
                <w:color w:val="111827"/>
                <w:sz w:val="16"/>
              </w:rPr>
              <w:t>Implement encryption and access controls for error logs.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artifact://legacy_inventory/1.0/art_legacy_inventory_1beb5a05f66a484b</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artifact://repo_landscape/1.0/art_repo_landscape_2ca94eca4a0b4326</w:t>
            </w:r>
          </w:p>
        </w:tc>
      </w:tr>
      <w:tr>
        <w:tc>
          <w:tcPr>
            <w:tcW w:type="dxa" w:w="5040"/>
          </w:tcPr>
          <w:p>
            <w:r/>
            <w:r>
              <w:rPr>
                <w:b w:val="0"/>
                <w:color w:val="111827"/>
                <w:sz w:val="16"/>
              </w:rPr>
              <w:t>scope_lock_ref</w:t>
            </w:r>
          </w:p>
        </w:tc>
        <w:tc>
          <w:tcPr>
            <w:tcW w:type="dxa" w:w="5040"/>
          </w:tcPr>
          <w:p>
            <w:r/>
            <w:r>
              <w:rPr>
                <w:b w:val="0"/>
                <w:color w:val="111827"/>
                <w:sz w:val="16"/>
              </w:rPr>
              <w:t>artifact://scope_lock/1.0/art_scope_lock_320d9b35a2ab4a10</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artifact://variant_inventory/1.0/art_variant_inventory_96dfaa49f7ab4b36</w:t>
            </w:r>
          </w:p>
        </w:tc>
      </w:tr>
      <w:tr>
        <w:tc>
          <w:tcPr>
            <w:tcW w:type="dxa" w:w="5040"/>
          </w:tcPr>
          <w:p>
            <w:r/>
            <w:r>
              <w:rPr>
                <w:b w:val="0"/>
                <w:color w:val="111827"/>
                <w:sz w:val="16"/>
              </w:rPr>
              <w:t>event_map_ref</w:t>
            </w:r>
          </w:p>
        </w:tc>
        <w:tc>
          <w:tcPr>
            <w:tcW w:type="dxa" w:w="5040"/>
          </w:tcPr>
          <w:p>
            <w:r/>
            <w:r>
              <w:rPr>
                <w:b w:val="0"/>
                <w:color w:val="111827"/>
                <w:sz w:val="16"/>
              </w:rPr>
              <w:t>artifact://event_map/1.0/art_event_map_8240c002392544e6</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artifact://sql_catalog/1.0/art_sql_catalog_8dc0d5a1f9c74e91</w:t>
            </w:r>
          </w:p>
        </w:tc>
      </w:tr>
      <w:tr>
        <w:tc>
          <w:tcPr>
            <w:tcW w:type="dxa" w:w="5040"/>
          </w:tcPr>
          <w:p>
            <w:r/>
            <w:r>
              <w:rPr>
                <w:b w:val="0"/>
                <w:color w:val="111827"/>
                <w:sz w:val="16"/>
              </w:rPr>
              <w:t>sql_map_ref</w:t>
            </w:r>
          </w:p>
        </w:tc>
        <w:tc>
          <w:tcPr>
            <w:tcW w:type="dxa" w:w="5040"/>
          </w:tcPr>
          <w:p>
            <w:r/>
            <w:r>
              <w:rPr>
                <w:b w:val="0"/>
                <w:color w:val="111827"/>
                <w:sz w:val="16"/>
              </w:rPr>
              <w:t>artifact://sql_map/1.0/art_sql_map_3934c0d71c884384</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artifact://data_access_map/1.0/art_data_access_map_3aa4909fe2ba4f06</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artifact://recordset_ops/1.0/art_recordset_ops_904bccee25374e13</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artifact://procedure_summary/1.0/art_procedure_summary_e7c765a5298340e5</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artifact://form_dossier/1.0/art_form_dossier_8f9249afe7ff464e</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artifact://dependency_inventory/1.0/art_dependency_inventory_ba9f808198564e99</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artifact://dependency_inventory/1.0/art_dependency_inventory_ba9f808198564e99</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artifact://business_rule_catalog/1.0/art_business_rule_catalog_46dc5b397d124300</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artifact://detector_findings/1.0/art_detector_findings_18abd03e0c094329</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artifact://risk_register/1.0/art_risk_register_7d97dcd254c44ce5</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artifact://orphan_analysis/1.0/art_orphan_analysis_d3beb408c8194604</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artifact://delivery_constitution/1.0/art_delivery_constitution_80944b8eab5147d0</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artifact://variant_diff_report/1.0/art_variant_diff_report_bd4e49f788844b11</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artifact://reporting_model/1.0/art_reporting_model_5af5c2af25784fd3</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artifact://identity_access_model/1.0/art_identity_access_model_005c293733114553</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artifact://discover_review_checklist/1.0/art_discover_review_checklist_84f14f39f36d436a</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artifact://artifact_index/1.0/art_artifact_index_0ba90c1483bc4f74</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runctx://runctx-e9afe2d8ee8342dd/kctx-9902e42d32f8c0bb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runctx://runctx-e9afe2d8ee8342dd/delivery_constitution/const-d061fe31b782</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