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Legacy Modernization Scope - Phased Migration Strategy</w:t>
            </w:r>
          </w:p>
        </w:tc>
      </w:tr>
    </w:tbl>
    <w:p>
      <w:r>
        <w:rPr>
          <w:b/>
          <w:color w:val="1F6B75"/>
          <w:sz w:val="26"/>
        </w:rPr>
        <w:t>Legacy Modernization Scope</w:t>
      </w:r>
    </w:p>
    <w:p>
      <w:r>
        <w:rPr>
          <w:b w:val="0"/>
          <w:color w:val="111827"/>
          <w:sz w:val="20"/>
        </w:rPr>
        <w:t>Three-phase modernization approach with baseline preservation, incremental migration, and quality hardening for medium-risk legacy systems</w:t>
      </w:r>
    </w:p>
    <w:p>
      <w:r>
        <w:rPr>
          <w:b w:val="0"/>
          <w:color w:val="6B7280"/>
          <w:sz w:val="18"/>
        </w:rPr>
        <w:t>Run 20260512_205131_b94669a2  ·  Generated 2026-05-12T20:52:50.270469+00:00  ·  Repo app</w:t>
      </w:r>
    </w:p>
    <w:p/>
    <w:p>
      <w:pPr>
        <w:pStyle w:val="Heading1"/>
      </w:pPr>
      <w:r>
        <w:t>Executive Snapshot</w:t>
      </w:r>
    </w:p>
    <w:p>
      <w:r>
        <w:rPr>
          <w:b w:val="0"/>
          <w:color w:val="6B7280"/>
          <w:sz w:val="18"/>
        </w:rPr>
        <w:t>High-level overview of the three-phase modernization strategy, current readiness assessment, and key success metrics for legacy system transformation.</w:t>
      </w:r>
    </w:p>
    <w:p>
      <w:r>
        <w:rPr>
          <w:b/>
          <w:color w:val="2E75B6"/>
          <w:sz w:val="20"/>
        </w:rPr>
        <w:t xml:space="preserve">Objective: </w:t>
      </w:r>
      <w:r>
        <w:rPr>
          <w:b w:val="0"/>
          <w:color w:val="111827"/>
          <w:sz w:val="20"/>
        </w:rPr>
        <w:t>Kick increment Contractor — verify legacy_code seed + language hardening + refusal protocol.</w:t>
      </w:r>
    </w:p>
    <w:p>
      <w:r>
        <w:rPr>
          <w:b/>
          <w:color w:val="2E75B6"/>
          <w:sz w:val="20"/>
        </w:rPr>
        <w:t xml:space="preserve">Summary: </w:t>
      </w:r>
      <w:r>
        <w:rPr>
          <w:b w:val="0"/>
          <w:color w:val="111827"/>
          <w:sz w:val="20"/>
        </w:rPr>
        <w:t>Phased modernization recommended.</w:t>
      </w:r>
    </w:p>
    <w:p>
      <w:r>
        <w:rPr>
          <w:b w:val="0"/>
          <w:color w:val="111827"/>
          <w:sz w:val="20"/>
        </w:rPr>
        <w:t>This workbook outlines a systematic approach to modernizing legacy systems through controlled phases. Beginning with baseline capture and equivalence testing, the strategy progresses through incremental migration with dependency risk controls, culminating in comprehensive hardening and release evidence. The phased approach prioritizes behavior preservation while enabling controlled modernization, ensuring system stability throughout the transformation process. With a current readiness score of 60 and medium risk classification, this methodology provides structured guidance for managing complexity while delivering measurable modernization outcomes.</w:t>
      </w:r>
    </w:p>
    <w:p>
      <w:pPr>
        <w:pStyle w:val="ListParagraph"/>
      </w:pPr>
      <w:r>
        <w:rPr>
          <w:b w:val="0"/>
          <w:color w:val="111827"/>
          <w:sz w:val="18"/>
        </w:rPr>
        <w:t>- Three-phase strategy preserves system behavior while enabling controlled modernization</w:t>
      </w:r>
    </w:p>
    <w:p>
      <w:pPr>
        <w:pStyle w:val="ListParagraph"/>
      </w:pPr>
      <w:r>
        <w:rPr>
          <w:b w:val="0"/>
          <w:color w:val="111827"/>
          <w:sz w:val="18"/>
        </w:rPr>
        <w:t>- Baseline capture establishes golden flows and reference outputs for validation</w:t>
      </w:r>
    </w:p>
    <w:p>
      <w:pPr>
        <w:pStyle w:val="ListParagraph"/>
      </w:pPr>
      <w:r>
        <w:rPr>
          <w:b w:val="0"/>
          <w:color w:val="111827"/>
          <w:sz w:val="18"/>
        </w:rPr>
        <w:t>- Incremental migration approach minimizes risk through controlled dependency replacement</w:t>
      </w:r>
    </w:p>
    <w:p>
      <w:pPr>
        <w:pStyle w:val="ListParagraph"/>
      </w:pPr>
      <w:r>
        <w:rPr>
          <w:b w:val="0"/>
          <w:color w:val="111827"/>
          <w:sz w:val="18"/>
        </w:rPr>
        <w:t>- Quality hardening phase ensures comprehensive testing and release readiness</w:t>
      </w:r>
    </w:p>
    <w:p>
      <w:pPr>
        <w:pStyle w:val="ListParagraph"/>
      </w:pPr>
      <w:r>
        <w:rPr>
          <w:b w:val="0"/>
          <w:color w:val="111827"/>
          <w:sz w:val="18"/>
        </w:rPr>
        <w:t>- Medium risk tier requires enhanced monitoring and validation protocols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60/100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Readiness Gap: </w:t>
      </w:r>
      <w:r>
        <w:rPr>
          <w:b w:val="0"/>
          <w:color w:val="111827"/>
          <w:sz w:val="18"/>
        </w:rPr>
        <w:t>Current readiness score of 60 indicates preparation work needed before full modernization execution</w:t>
      </w:r>
    </w:p>
    <w:p>
      <w:r>
        <w:rPr>
          <w:b/>
          <w:color w:val="2E75B6"/>
          <w:sz w:val="18"/>
        </w:rPr>
        <w:t xml:space="preserve">Risk Classification: </w:t>
      </w:r>
      <w:r>
        <w:rPr>
          <w:b w:val="0"/>
          <w:color w:val="111827"/>
          <w:sz w:val="18"/>
        </w:rPr>
        <w:t>Medium risk tier requires enhanced validation protocols and dependency analysis throughout migration phases</w:t>
      </w:r>
    </w:p>
    <w:p>
      <w:pPr>
        <w:pStyle w:val="Heading2"/>
      </w:pPr>
      <w:r>
        <w:t>Recommended Modernization Strategy</w:t>
      </w:r>
    </w:p>
    <w:p>
      <w:r>
        <w:rPr>
          <w:b/>
          <w:color w:val="1F6B75"/>
          <w:sz w:val="20"/>
        </w:rPr>
        <w:t xml:space="preserve">Phased modernization: </w:t>
      </w:r>
      <w:r>
        <w:rPr>
          <w:b w:val="0"/>
          <w:color w:val="111827"/>
          <w:sz w:val="20"/>
        </w:rPr>
        <w:t>Preserve behavior first, then modernize in controlled phases.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pass=12, warn=4,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12</w:t>
            </w:r>
          </w:p>
        </w:tc>
        <w:tc>
          <w:tcPr>
            <w:tcW w:type="dxa" w:w="1680"/>
          </w:tcPr>
          <w:p>
            <w:r/>
            <w:r>
              <w:rPr>
                <w:b w:val="0"/>
                <w:color w:val="111827"/>
                <w:sz w:val="18"/>
              </w:rPr>
              <w:t>4</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pass=12, warn=4,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0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Analysis of system dependencies and interconnections that must be preserved or carefully managed during the incremental migration process.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documentation of legacy forms and modules targeted for migration, including complexity assessment and modernization approach.</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Comprehensive mapping of system flows and processes to ensure behavioral equivalence throughout the modernization phases.</w:t>
      </w:r>
    </w:p>
    <w:p>
      <w:r>
        <w:br w:type="page"/>
      </w:r>
    </w:p>
    <w:p>
      <w:pPr>
        <w:pStyle w:val="Heading1"/>
      </w:pPr>
      <w:r>
        <w:t>Section Q - Form Traceability Matrix</w:t>
      </w:r>
    </w:p>
    <w:p>
      <w:r>
        <w:rPr>
          <w:b w:val="0"/>
          <w:color w:val="6B7280"/>
          <w:sz w:val="18"/>
        </w:rPr>
        <w:t>End-to-end traceability matrix linking legacy components to modernized equivalents with validation checkpoints and success criteria.</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Sprint planning framework aligned with the three-phase strategy, including milestone deliverables and phase transition criteria.</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Risk assessment and mitigation strategies specific to medium-tier classification, including dependency risks and modernization challenges.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RISK-PARSE-001</w:t>
            </w:r>
          </w:p>
        </w:tc>
        <w:tc>
          <w:tcPr>
            <w:tcW w:type="dxa" w:w="2520"/>
            <w:shd w:val="clear" w:color="auto" w:fill="FEF3C7"/>
          </w:tcPr>
          <w:p>
            <w:r/>
            <w:r>
              <w:rPr>
                <w:b w:val="0"/>
                <w:color w:val="111827"/>
                <w:sz w:val="16"/>
              </w:rPr>
              <w:t>MEDIUM</w:t>
            </w:r>
          </w:p>
        </w:tc>
        <w:tc>
          <w:tcPr>
            <w:tcW w:type="dxa" w:w="2520"/>
          </w:tcPr>
          <w:p>
            <w:r/>
            <w:r>
              <w:rPr>
                <w:b w:val="0"/>
                <w:color w:val="111827"/>
                <w:sz w:val="16"/>
              </w:rPr>
              <w:t>The primary Analyst LLM response could not be parsed into valid JSON, so Synthetix compiled the requirements pack from deterministic evidence instead.</w:t>
            </w:r>
          </w:p>
        </w:tc>
        <w:tc>
          <w:tcPr>
            <w:tcW w:type="dxa" w:w="2520"/>
          </w:tcPr>
          <w:p>
            <w:r/>
            <w:r>
              <w:rPr>
                <w:b w:val="0"/>
                <w:color w:val="111827"/>
                <w:sz w:val="16"/>
              </w:rPr>
              <w:t>Review the generated artifacts and rerun with a stricter output contract if additional narrative depth is required.</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artifact://legacy_inventory/1.0/art_legacy_inventory_f0ede1b6377b42c8</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artifact://repo_landscape/1.0/art_repo_landscape_ad897e9e8ffc46f3</w:t>
            </w:r>
          </w:p>
        </w:tc>
      </w:tr>
      <w:tr>
        <w:tc>
          <w:tcPr>
            <w:tcW w:type="dxa" w:w="5040"/>
          </w:tcPr>
          <w:p>
            <w:r/>
            <w:r>
              <w:rPr>
                <w:b w:val="0"/>
                <w:color w:val="111827"/>
                <w:sz w:val="16"/>
              </w:rPr>
              <w:t>scope_lock_ref</w:t>
            </w:r>
          </w:p>
        </w:tc>
        <w:tc>
          <w:tcPr>
            <w:tcW w:type="dxa" w:w="5040"/>
          </w:tcPr>
          <w:p>
            <w:r/>
            <w:r>
              <w:rPr>
                <w:b w:val="0"/>
                <w:color w:val="111827"/>
                <w:sz w:val="16"/>
              </w:rPr>
              <w:t>artifact://scope_lock/1.0/art_scope_lock_c59e1c2461934d06</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artifact://variant_inventory/1.0/art_variant_inventory_d50eb60727424139</w:t>
            </w:r>
          </w:p>
        </w:tc>
      </w:tr>
      <w:tr>
        <w:tc>
          <w:tcPr>
            <w:tcW w:type="dxa" w:w="5040"/>
          </w:tcPr>
          <w:p>
            <w:r/>
            <w:r>
              <w:rPr>
                <w:b w:val="0"/>
                <w:color w:val="111827"/>
                <w:sz w:val="16"/>
              </w:rPr>
              <w:t>event_map_ref</w:t>
            </w:r>
          </w:p>
        </w:tc>
        <w:tc>
          <w:tcPr>
            <w:tcW w:type="dxa" w:w="5040"/>
          </w:tcPr>
          <w:p>
            <w:r/>
            <w:r>
              <w:rPr>
                <w:b w:val="0"/>
                <w:color w:val="111827"/>
                <w:sz w:val="16"/>
              </w:rPr>
              <w:t>artifact://event_map/1.0/art_event_map_cbb82928e3984fc6</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artifact://sql_catalog/1.0/art_sql_catalog_1193c0a6e5614675</w:t>
            </w:r>
          </w:p>
        </w:tc>
      </w:tr>
      <w:tr>
        <w:tc>
          <w:tcPr>
            <w:tcW w:type="dxa" w:w="5040"/>
          </w:tcPr>
          <w:p>
            <w:r/>
            <w:r>
              <w:rPr>
                <w:b w:val="0"/>
                <w:color w:val="111827"/>
                <w:sz w:val="16"/>
              </w:rPr>
              <w:t>sql_map_ref</w:t>
            </w:r>
          </w:p>
        </w:tc>
        <w:tc>
          <w:tcPr>
            <w:tcW w:type="dxa" w:w="5040"/>
          </w:tcPr>
          <w:p>
            <w:r/>
            <w:r>
              <w:rPr>
                <w:b w:val="0"/>
                <w:color w:val="111827"/>
                <w:sz w:val="16"/>
              </w:rPr>
              <w:t>artifact://sql_map/1.0/art_sql_map_9fe5fdd9a2214549</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artifact://data_access_map/1.0/art_data_access_map_fa6168cb3b37469c</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artifact://recordset_ops/1.0/art_recordset_ops_17d2a69e23714671</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artifact://procedure_summary/1.0/art_procedure_summary_e080250217ab47ff</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artifact://form_dossier/1.0/art_form_dossier_0f3b2ea4f9344863</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artifact://dependency_inventory/1.0/art_dependency_inventory_6b704a7907964124</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artifact://dependency_inventory/1.0/art_dependency_inventory_6b704a7907964124</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artifact://business_rule_catalog/1.0/art_business_rule_catalog_4e52cba34b56450a</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artifact://detector_findings/1.0/art_detector_findings_2091da6add05402f</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artifact://risk_register/1.0/art_risk_register_95b163287ffe413e</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artifact://orphan_analysis/1.0/art_orphan_analysis_a4602891f1c9464e</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artifact://delivery_constitution/1.0/art_delivery_constitution_ff1f24f3bd8f4ac1</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artifact://variant_diff_report/1.0/art_variant_diff_report_2dd750328297485e</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artifact://reporting_model/1.0/art_reporting_model_31a802b9fc114e42</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artifact://identity_access_model/1.0/art_identity_access_model_9324033750a348a7</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artifact://discover_review_checklist/1.0/art_discover_review_checklist_3a358c3a0edc493c</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artifact://artifact_index/1.0/art_artifact_index_88bd940b33b34cec</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runctx://runctx-ce3434c935b185f0/kctx-9902e42d32f8c0bb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runctx://runctx-ce3434c935b185f0/delivery_constitution/const-cf941702c397</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