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Align Architecture with Canonical Macro Services (P0)</w:t>
      </w:r>
    </w:p>
    <w:p>
      <w:pPr>
        <w:spacing w:after="80" w:before="80"/>
      </w:pPr>
      <w:r>
        <w:rPr>
          <w:sz w:val="22"/>
          <w:szCs w:val="22"/>
        </w:rPr>
        <w:t xml:space="preserve">The target architecture should reflect the macro services: Customer/Account, Reporting, and Staffing.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architecture includes distinct services for Customer/Account, Reporting, and Staffing.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service has a defined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confirm service interactions.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performance metrics.; Performance bottlenecks are identified and mitigated.; System scales horizontally to meet demand.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confirm compliance.; Penetration tests reveal no critical vulnerabilities.; Data encryption is implemented for sensitive information.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and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Uptime monitoring confirms 99.9% availability.; Failover mechanisms are tested and operational.; Incident response procedures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confirm ease of use.; Accessibility standards are met.; User feedback is collected and analyzed.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increased load.; Infrastructure supports horizontal scaling.; Resource allocation is optimized for scalability.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application/controllers/Contractor_placement.php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migration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downtime during transition.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 for phased deployment with rollback options.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2026-05-12T16:52:26.785Z</dcterms:created>
  <dcterms:modified xsi:type="dcterms:W3CDTF">2026-05-12T16:52:26.785Z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