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Code Modernization Workbook</w:t>
            </w:r>
          </w:p>
        </w:tc>
      </w:tr>
    </w:tbl>
    <w:p>
      <w:r>
        <w:rPr>
          <w:b/>
          <w:color w:val="1F6B75"/>
          <w:sz w:val="26"/>
        </w:rPr>
        <w:t>MagicBox Code Modernization</w:t>
      </w:r>
    </w:p>
    <w:p>
      <w:r>
        <w:rPr>
          <w:b w:val="0"/>
          <w:color w:val="111827"/>
          <w:sz w:val="20"/>
        </w:rPr>
        <w:t>A comprehensive guide to modernizing the MagicBox codebase using the Strangler Fig Pattern.</w:t>
      </w:r>
    </w:p>
    <w:p>
      <w:r>
        <w:rPr>
          <w:b w:val="0"/>
          <w:color w:val="6B7280"/>
          <w:sz w:val="18"/>
        </w:rPr>
        <w:t>Run 20260513_195649_b2df4f0e  ·  Generated 2026-05-13T19:57:53.251276+00:00  ·  Repo app</w:t>
      </w:r>
    </w:p>
    <w:p/>
    <w:p>
      <w:pPr>
        <w:pStyle w:val="Heading1"/>
      </w:pPr>
      <w:r>
        <w:t>Executive Snapshot</w:t>
      </w:r>
    </w:p>
    <w:p>
      <w:r>
        <w:rPr>
          <w:b w:val="0"/>
          <w:color w:val="6B7280"/>
          <w:sz w:val="18"/>
        </w:rPr>
        <w:t>An overview of the modernization strategy and current project status.</w:t>
      </w:r>
    </w:p>
    <w:p>
      <w:r>
        <w:rPr>
          <w:b/>
          <w:color w:val="2E75B6"/>
          <w:sz w:val="20"/>
        </w:rPr>
        <w:t xml:space="preserve">Objective: </w:t>
      </w:r>
      <w:r>
        <w:rPr>
          <w:b w:val="0"/>
          <w:color w:val="111827"/>
          <w:sz w:val="20"/>
        </w:rPr>
        <w:t>The objective is to modernize the codebase by syncing a vault scaffold with 100 domain entities and validating the auto-population of Data Transfer Objects (DTOs).</w:t>
      </w:r>
    </w:p>
    <w:p>
      <w:r>
        <w:rPr>
          <w:b/>
          <w:color w:val="2E75B6"/>
          <w:sz w:val="20"/>
        </w:rPr>
        <w:t xml:space="preserve">Summary: </w:t>
      </w:r>
      <w:r>
        <w:rPr>
          <w:b w:val="0"/>
          <w:color w:val="111827"/>
          <w:sz w:val="20"/>
        </w:rPr>
        <w:t>Strangler Fig Pattern recommended.</w:t>
      </w:r>
    </w:p>
    <w:p>
      <w:r>
        <w:rPr>
          <w:b w:val="0"/>
          <w:color w:val="111827"/>
          <w:sz w:val="20"/>
        </w:rPr>
        <w:t>The MagicBox Code Modernization project aims to update the existing codebase by integrating a vault scaffold with 100 domain entities. This process involves validating the auto-population of Data Transfer Objects (DTOs) to ensure seamless data handling. Utilizing the Strangler Fig Pattern, the project will gradually replace legacy components, minimizing disruption and maintaining system integrity. The modernization effort is structured into three phases: establishing baselines, incremental migration, and final hardening. Each phase is designed to address specific challenges and ensure a smooth transition to a modernized architecture.</w:t>
      </w:r>
    </w:p>
    <w:p>
      <w:pPr>
        <w:pStyle w:val="ListParagraph"/>
      </w:pPr>
      <w:r>
        <w:rPr>
          <w:b w:val="0"/>
          <w:color w:val="111827"/>
          <w:sz w:val="18"/>
        </w:rPr>
        <w:t>- Objective: Sync vault scaffold with 100 domain entities.</w:t>
      </w:r>
    </w:p>
    <w:p>
      <w:pPr>
        <w:pStyle w:val="ListParagraph"/>
      </w:pPr>
      <w:r>
        <w:rPr>
          <w:b w:val="0"/>
          <w:color w:val="111827"/>
          <w:sz w:val="18"/>
        </w:rPr>
        <w:t>- Validate auto-population of Data Transfer Objects (DTOs).</w:t>
      </w:r>
    </w:p>
    <w:p>
      <w:pPr>
        <w:pStyle w:val="ListParagraph"/>
      </w:pPr>
      <w:r>
        <w:rPr>
          <w:b w:val="0"/>
          <w:color w:val="111827"/>
          <w:sz w:val="18"/>
        </w:rPr>
        <w:t>- Utilize Strangler Fig Pattern for gradual modernization.</w:t>
      </w:r>
    </w:p>
    <w:p>
      <w:pPr>
        <w:pStyle w:val="ListParagraph"/>
      </w:pPr>
      <w:r>
        <w:rPr>
          <w:b w:val="0"/>
          <w:color w:val="111827"/>
          <w:sz w:val="18"/>
        </w:rPr>
        <w:t>- Project readiness score is currently at 65.</w:t>
      </w:r>
    </w:p>
    <w:p>
      <w:pPr>
        <w:pStyle w:val="ListParagraph"/>
      </w:pPr>
      <w:r>
        <w:rPr>
          <w:b w:val="0"/>
          <w:color w:val="111827"/>
          <w:sz w:val="18"/>
        </w:rPr>
        <w:t>- Risk tier is assessed as medium.</w:t>
      </w:r>
    </w:p>
    <w:p>
      <w:pPr>
        <w:pStyle w:val="ListParagraph"/>
      </w:pPr>
      <w:r>
        <w:rPr>
          <w:b w:val="0"/>
          <w:color w:val="111827"/>
          <w:sz w:val="18"/>
        </w:rPr>
        <w:t>- No current inventory of projects, forms, or dependencies.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65/100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Score: </w:t>
      </w:r>
      <w:r>
        <w:rPr>
          <w:b w:val="0"/>
          <w:color w:val="111827"/>
          <w:sz w:val="18"/>
        </w:rPr>
        <w:t>Current readiness score is 65, indicating moderate preparedness.</w:t>
      </w:r>
    </w:p>
    <w:p>
      <w:pPr>
        <w:pStyle w:val="Heading2"/>
      </w:pPr>
      <w:r>
        <w:t>Recommended Modernization Strategy</w:t>
      </w:r>
    </w:p>
    <w:p>
      <w:r>
        <w:rPr>
          <w:b/>
          <w:color w:val="1F6B75"/>
          <w:sz w:val="20"/>
        </w:rPr>
        <w:t xml:space="preserve">Strangler Fig Pattern: </w:t>
      </w:r>
      <w:r>
        <w:rPr>
          <w:b w:val="0"/>
          <w:color w:val="111827"/>
          <w:sz w:val="20"/>
        </w:rPr>
        <w:t>Allows gradual replacement of legacy components with new implementations.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Placement approval process</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of existing dependencies to identify potential risks and migration paths.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dossiers on forms to be migrated, including risk assessments.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Placement approval process</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Placement must be approved by a co-approver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Documentation of system flows to ensure accurate baseline capture.</w:t>
      </w:r>
    </w:p>
    <w:p>
      <w:r>
        <w:br w:type="page"/>
      </w:r>
    </w:p>
    <w:p>
      <w:pPr>
        <w:pStyle w:val="Heading1"/>
      </w:pPr>
      <w:r>
        <w:t>Section Q - Form Traceability Matrix</w:t>
      </w:r>
    </w:p>
    <w:p>
      <w:r>
        <w:rPr>
          <w:b w:val="0"/>
          <w:color w:val="6B7280"/>
          <w:sz w:val="18"/>
        </w:rPr>
        <w:t>Ensuring traceability of changes to maintain system integrity.</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 cycles for phased implementation and testing.</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Assessment of potential risks and mitigation strategies throughout the project.</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DTO auto-population may introduce data mapping errors.</w:t>
            </w:r>
          </w:p>
        </w:tc>
        <w:tc>
          <w:tcPr>
            <w:tcW w:type="dxa" w:w="2520"/>
          </w:tcPr>
          <w:p>
            <w:r/>
            <w:r>
              <w:rPr>
                <w:b w:val="0"/>
                <w:color w:val="111827"/>
                <w:sz w:val="16"/>
              </w:rPr>
              <w:t>Implement comprehensive validation tests.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Integration with existing systems may cause data consistency issues.</w:t>
            </w:r>
          </w:p>
        </w:tc>
        <w:tc>
          <w:tcPr>
            <w:tcW w:type="dxa" w:w="2520"/>
            <w:shd w:val="clear" w:color="auto" w:fill="F3F4F6"/>
          </w:tcPr>
          <w:p>
            <w:r/>
            <w:r>
              <w:rPr>
                <w:b w:val="0"/>
                <w:color w:val="111827"/>
                <w:sz w:val="16"/>
              </w:rPr>
              <w:t>Conduct thorough integration testing.</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artifact://legacy_inventory/1.0/art_legacy_inventory_894c4db79ce343c1</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artifact://repo_landscape/1.0/art_repo_landscape_f857856b9ff3402d</w:t>
            </w:r>
          </w:p>
        </w:tc>
      </w:tr>
      <w:tr>
        <w:tc>
          <w:tcPr>
            <w:tcW w:type="dxa" w:w="5040"/>
          </w:tcPr>
          <w:p>
            <w:r/>
            <w:r>
              <w:rPr>
                <w:b w:val="0"/>
                <w:color w:val="111827"/>
                <w:sz w:val="16"/>
              </w:rPr>
              <w:t>scope_lock_ref</w:t>
            </w:r>
          </w:p>
        </w:tc>
        <w:tc>
          <w:tcPr>
            <w:tcW w:type="dxa" w:w="5040"/>
          </w:tcPr>
          <w:p>
            <w:r/>
            <w:r>
              <w:rPr>
                <w:b w:val="0"/>
                <w:color w:val="111827"/>
                <w:sz w:val="16"/>
              </w:rPr>
              <w:t>artifact://scope_lock/1.0/art_scope_lock_c49893babb0a47d8</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artifact://variant_inventory/1.0/art_variant_inventory_8d3ca583fae943b8</w:t>
            </w:r>
          </w:p>
        </w:tc>
      </w:tr>
      <w:tr>
        <w:tc>
          <w:tcPr>
            <w:tcW w:type="dxa" w:w="5040"/>
          </w:tcPr>
          <w:p>
            <w:r/>
            <w:r>
              <w:rPr>
                <w:b w:val="0"/>
                <w:color w:val="111827"/>
                <w:sz w:val="16"/>
              </w:rPr>
              <w:t>event_map_ref</w:t>
            </w:r>
          </w:p>
        </w:tc>
        <w:tc>
          <w:tcPr>
            <w:tcW w:type="dxa" w:w="5040"/>
          </w:tcPr>
          <w:p>
            <w:r/>
            <w:r>
              <w:rPr>
                <w:b w:val="0"/>
                <w:color w:val="111827"/>
                <w:sz w:val="16"/>
              </w:rPr>
              <w:t>artifact://event_map/1.0/art_event_map_b800cf4087204a97</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artifact://sql_catalog/1.0/art_sql_catalog_18ddccab7ea043ac</w:t>
            </w:r>
          </w:p>
        </w:tc>
      </w:tr>
      <w:tr>
        <w:tc>
          <w:tcPr>
            <w:tcW w:type="dxa" w:w="5040"/>
          </w:tcPr>
          <w:p>
            <w:r/>
            <w:r>
              <w:rPr>
                <w:b w:val="0"/>
                <w:color w:val="111827"/>
                <w:sz w:val="16"/>
              </w:rPr>
              <w:t>sql_map_ref</w:t>
            </w:r>
          </w:p>
        </w:tc>
        <w:tc>
          <w:tcPr>
            <w:tcW w:type="dxa" w:w="5040"/>
          </w:tcPr>
          <w:p>
            <w:r/>
            <w:r>
              <w:rPr>
                <w:b w:val="0"/>
                <w:color w:val="111827"/>
                <w:sz w:val="16"/>
              </w:rPr>
              <w:t>artifact://sql_map/1.0/art_sql_map_341d0251542c403a</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artifact://data_access_map/1.0/art_data_access_map_0dea80dbac6a4dd1</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artifact://recordset_ops/1.0/art_recordset_ops_72baecb252dc4263</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artifact://procedure_summary/1.0/art_procedure_summary_6a5b040f6fc14bc5</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artifact://form_dossier/1.0/art_form_dossier_38ae4d12848a4aa6</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artifact://dependency_inventory/1.0/art_dependency_inventory_98afd9aac39e49fe</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artifact://dependency_inventory/1.0/art_dependency_inventory_98afd9aac39e49fe</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artifact://business_rule_catalog/1.0/art_business_rule_catalog_7ada507e958a4d06</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artifact://detector_findings/1.0/art_detector_findings_3eca85e96829451a</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artifact://risk_register/1.0/art_risk_register_11b7eec56fd4490c</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artifact://orphan_analysis/1.0/art_orphan_analysis_14ad9ab89f844991</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artifact://delivery_constitution/1.0/art_delivery_constitution_765b3bd338294184</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artifact://variant_diff_report/1.0/art_variant_diff_report_c8dea7079db041d8</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artifact://reporting_model/1.0/art_reporting_model_c0e27cd23a944f23</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artifact://identity_access_model/1.0/art_identity_access_model_3ed2659fa51a471c</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artifact://discover_review_checklist/1.0/art_discover_review_checklist_c073f07a29144a27</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artifact://artifact_index/1.0/art_artifact_index_ba008e486fa34481</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runctx://runctx-22be1fcd86fed7f8/kctx-9902e42d32f8c0bb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runctx://runctx-22be1fcd86fed7f8/delivery_constitution/const-b83bf90e9681</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