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Legacy Modernization Scope - Phase 4 Verification Workbook</w:t>
            </w:r>
          </w:p>
        </w:tc>
      </w:tr>
    </w:tbl>
    <w:p>
      <w:r>
        <w:rPr>
          <w:b/>
          <w:color w:val="1F6B75"/>
          <w:sz w:val="26"/>
        </w:rPr>
        <w:t>Legacy Modernization Scope</w:t>
      </w:r>
    </w:p>
    <w:p>
      <w:r>
        <w:rPr>
          <w:b w:val="0"/>
          <w:color w:val="111827"/>
          <w:sz w:val="20"/>
        </w:rPr>
        <w:t>DP-05 paradigm implementation with DP-08 backward-compatibility guards and helper resolver integration for Contractor module</w:t>
      </w:r>
    </w:p>
    <w:p>
      <w:r>
        <w:rPr>
          <w:b w:val="0"/>
          <w:color w:val="6B7280"/>
          <w:sz w:val="18"/>
        </w:rPr>
        <w:t>Run 20260513_003333_788766e5  ·  Generated 2026-05-13T00:34:55.788842+00:00  ·  Repo app</w:t>
      </w:r>
    </w:p>
    <w:p/>
    <w:p>
      <w:pPr>
        <w:pStyle w:val="Heading1"/>
      </w:pPr>
      <w:r>
        <w:t>Executive Snapshot</w:t>
      </w:r>
    </w:p>
    <w:p>
      <w:r>
        <w:rPr>
          <w:b w:val="0"/>
          <w:color w:val="6B7280"/>
          <w:sz w:val="18"/>
        </w:rPr>
        <w:t>Overview of Phase 4 verification status, readiness metrics, and strategic alignment with phased modernization approach for legacy system transformation.</w:t>
      </w:r>
    </w:p>
    <w:p>
      <w:r>
        <w:rPr>
          <w:b/>
          <w:color w:val="2E75B6"/>
          <w:sz w:val="20"/>
        </w:rPr>
        <w:t xml:space="preserve">Objective: </w:t>
      </w:r>
      <w:r>
        <w:rPr>
          <w:b w:val="0"/>
          <w:color w:val="111827"/>
          <w:sz w:val="20"/>
        </w:rPr>
        <w:t>Phase 4 verification (DP-05 paradigm + DP-08 backward-compat guards active) — helper resolver + signatures + fourth pass on Contractor.</w:t>
      </w:r>
    </w:p>
    <w:p>
      <w:r>
        <w:rPr>
          <w:b/>
          <w:color w:val="2E75B6"/>
          <w:sz w:val="20"/>
        </w:rPr>
        <w:t xml:space="preserve">Summary: </w:t>
      </w:r>
      <w:r>
        <w:rPr>
          <w:b w:val="0"/>
          <w:color w:val="111827"/>
          <w:sz w:val="20"/>
        </w:rPr>
        <w:t>Phased modernization recommended.</w:t>
      </w:r>
    </w:p>
    <w:p>
      <w:r>
        <w:rPr>
          <w:b w:val="0"/>
          <w:color w:val="111827"/>
          <w:sz w:val="20"/>
        </w:rPr>
        <w:t>This workbook documents Phase 4 verification activities for the Legacy Modernization Scope project, focusing on DP-05 paradigm implementation with active DP-08 backward-compatibility guards. The current readiness score of 60% indicates moderate preparation with medium risk tier classification. The phased modernization strategy prioritizes behavior preservation through controlled migration phases, starting with baseline capture and golden flow documentation, progressing through incremental dependency replacement with risk controls, and culminating in quality gate hardening with comprehensive release evidence. This verification phase specifically addresses helper resolver integration and signature validation for the Contractor module, ensuring systematic modernization while maintaining operational continuity.</w:t>
      </w:r>
    </w:p>
    <w:p>
      <w:pPr>
        <w:pStyle w:val="ListParagraph"/>
      </w:pPr>
      <w:r>
        <w:rPr>
          <w:b w:val="0"/>
          <w:color w:val="111827"/>
          <w:sz w:val="18"/>
        </w:rPr>
        <w:t>- Phase 4 verification targeting DP-05 paradigm with DP-08 backward-compatibility safeguards</w:t>
      </w:r>
    </w:p>
    <w:p>
      <w:pPr>
        <w:pStyle w:val="ListParagraph"/>
      </w:pPr>
      <w:r>
        <w:rPr>
          <w:b w:val="0"/>
          <w:color w:val="111827"/>
          <w:sz w:val="18"/>
        </w:rPr>
        <w:t>- Current readiness at 60% with medium risk classification requiring controlled migration approach</w:t>
      </w:r>
    </w:p>
    <w:p>
      <w:pPr>
        <w:pStyle w:val="ListParagraph"/>
      </w:pPr>
      <w:r>
        <w:rPr>
          <w:b w:val="0"/>
          <w:color w:val="111827"/>
          <w:sz w:val="18"/>
        </w:rPr>
        <w:t>- Three-phase strategy: baseline capture, incremental migration with risk controls, and hardening</w:t>
      </w:r>
    </w:p>
    <w:p>
      <w:pPr>
        <w:pStyle w:val="ListParagraph"/>
      </w:pPr>
      <w:r>
        <w:rPr>
          <w:b w:val="0"/>
          <w:color w:val="111827"/>
          <w:sz w:val="18"/>
        </w:rPr>
        <w:t>- Helper resolver and signature integration focus for Contractor module modernization</w:t>
      </w:r>
    </w:p>
    <w:p>
      <w:pPr>
        <w:pStyle w:val="ListParagraph"/>
      </w:pPr>
      <w:r>
        <w:rPr>
          <w:b w:val="0"/>
          <w:color w:val="111827"/>
          <w:sz w:val="18"/>
        </w:rPr>
        <w:t>- Behavior preservation prioritized through golden flow documentation and equivalence testing</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60/100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medium</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r>
        <w:rPr>
          <w:b/>
          <w:color w:val="2E75B6"/>
          <w:sz w:val="18"/>
        </w:rPr>
        <w:t xml:space="preserve">Readiness Gap: </w:t>
      </w:r>
      <w:r>
        <w:rPr>
          <w:b w:val="0"/>
          <w:color w:val="111827"/>
          <w:sz w:val="18"/>
        </w:rPr>
        <w:t>Current 60% readiness score indicates significant preparation work needed before full modernization deployment</w:t>
      </w:r>
    </w:p>
    <w:p>
      <w:r>
        <w:rPr>
          <w:b/>
          <w:color w:val="2E75B6"/>
          <w:sz w:val="18"/>
        </w:rPr>
        <w:t xml:space="preserve">Risk Mitigation: </w:t>
      </w:r>
      <w:r>
        <w:rPr>
          <w:b w:val="0"/>
          <w:color w:val="111827"/>
          <w:sz w:val="18"/>
        </w:rPr>
        <w:t>DP-08 backward-compatibility guards active to prevent regression during paradigm transition</w:t>
      </w:r>
    </w:p>
    <w:p>
      <w:pPr>
        <w:pStyle w:val="Heading2"/>
      </w:pPr>
      <w:r>
        <w:t>Recommended Modernization Strategy</w:t>
      </w:r>
    </w:p>
    <w:p>
      <w:r>
        <w:rPr>
          <w:b/>
          <w:color w:val="1F6B75"/>
          <w:sz w:val="20"/>
        </w:rPr>
        <w:t xml:space="preserve">Phased modernization: </w:t>
      </w:r>
      <w:r>
        <w:rPr>
          <w:b w:val="0"/>
          <w:color w:val="111827"/>
          <w:sz w:val="20"/>
        </w:rPr>
        <w:t>Preserve behavior first, then modernize in controlled phases.</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(1/3)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pass=12, warn=4,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12</w:t>
            </w:r>
          </w:p>
        </w:tc>
        <w:tc>
          <w:tcPr>
            <w:tcW w:type="dxa" w:w="1680"/>
          </w:tcPr>
          <w:p>
            <w:r/>
            <w:r>
              <w:rPr>
                <w:b w:val="0"/>
                <w:color w:val="111827"/>
                <w:sz w:val="18"/>
              </w:rPr>
              <w:t>4</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pass=12, warn=4,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0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Rule scope form references resolve against discovered form inventory.</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Analysis of system dependencies and integration points affected by DP-05 paradigm implementation and helper resolver integration requirements.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Documentation of form structures and data flows impacted by modernization activities, with emphasis on Contractor module signature handling.</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8"/>
              </w:rPr>
              <w:t>BR-NA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No business rules available</w:t>
            </w:r>
          </w:p>
        </w:tc>
        <w:tc>
          <w:tcPr>
            <w:tcW w:type="dxa" w:w="1680"/>
          </w:tcPr>
          <w:p>
            <w:r/>
            <w:r>
              <w:rPr>
                <w:b w:val="0"/>
                <w:color w:val="111827"/>
                <w:sz w:val="18"/>
              </w:rPr>
              <w:t>none</w:t>
            </w:r>
          </w:p>
        </w:tc>
      </w:tr>
    </w:tbl>
    <w:p>
      <w:r>
        <w:br w:type="page"/>
      </w:r>
    </w:p>
    <w:p>
      <w:pPr>
        <w:pStyle w:val="Heading1"/>
      </w:pPr>
      <w:r>
        <w:t>Section P - Form Flow Traces</w:t>
      </w:r>
    </w:p>
    <w:p>
      <w:r>
        <w:rPr>
          <w:b w:val="0"/>
          <w:color w:val="6B7280"/>
          <w:sz w:val="18"/>
        </w:rPr>
        <w:t>Detailed tracing of golden flows and baseline behaviors to ensure equivalence maintenance throughout the modernization process.</w:t>
      </w:r>
    </w:p>
    <w:p>
      <w:r>
        <w:br w:type="page"/>
      </w:r>
    </w:p>
    <w:p>
      <w:pPr>
        <w:pStyle w:val="Heading1"/>
      </w:pPr>
      <w:r>
        <w:t>Section Q - Form Traceability Matrix</w:t>
      </w:r>
    </w:p>
    <w:p>
      <w:r>
        <w:rPr>
          <w:b w:val="0"/>
          <w:color w:val="6B7280"/>
          <w:sz w:val="18"/>
        </w:rPr>
        <w:t>Requirements traceability matrix linking modernization objectives to implementation phases and verification criteria for audit compliance.</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Sprint planning and execution framework for Phase 4 verification activities, including helper resolver deployment and compatibility testing.</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Risk assessment and mitigation strategies for medium-tier classification, focusing on backward-compatibility and behavior preservation challenges.</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RISK-PARSE-001</w:t>
            </w:r>
          </w:p>
        </w:tc>
        <w:tc>
          <w:tcPr>
            <w:tcW w:type="dxa" w:w="2520"/>
            <w:shd w:val="clear" w:color="auto" w:fill="FEF3C7"/>
          </w:tcPr>
          <w:p>
            <w:r/>
            <w:r>
              <w:rPr>
                <w:b w:val="0"/>
                <w:color w:val="111827"/>
                <w:sz w:val="16"/>
              </w:rPr>
              <w:t>MEDIUM</w:t>
            </w:r>
          </w:p>
        </w:tc>
        <w:tc>
          <w:tcPr>
            <w:tcW w:type="dxa" w:w="2520"/>
          </w:tcPr>
          <w:p>
            <w:r/>
            <w:r>
              <w:rPr>
                <w:b w:val="0"/>
                <w:color w:val="111827"/>
                <w:sz w:val="16"/>
              </w:rPr>
              <w:t>The primary Analyst LLM response could not be parsed into valid JSON, so Synthetix compiled the requirements pack from deterministic evidence instead.</w:t>
            </w:r>
          </w:p>
        </w:tc>
        <w:tc>
          <w:tcPr>
            <w:tcW w:type="dxa" w:w="2520"/>
          </w:tcPr>
          <w:p>
            <w:r/>
            <w:r>
              <w:rPr>
                <w:b w:val="0"/>
                <w:color w:val="111827"/>
                <w:sz w:val="16"/>
              </w:rPr>
              <w:t>Review the generated artifacts and rerun with a stricter output contract if additional narrative depth is required.</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artifact://legacy_inventory/1.0/art_legacy_inventory_0e4c19cd545b4ae2</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artifact://repo_landscape/1.0/art_repo_landscape_2b1d4e44b1694e15</w:t>
            </w:r>
          </w:p>
        </w:tc>
      </w:tr>
      <w:tr>
        <w:tc>
          <w:tcPr>
            <w:tcW w:type="dxa" w:w="5040"/>
          </w:tcPr>
          <w:p>
            <w:r/>
            <w:r>
              <w:rPr>
                <w:b w:val="0"/>
                <w:color w:val="111827"/>
                <w:sz w:val="16"/>
              </w:rPr>
              <w:t>scope_lock_ref</w:t>
            </w:r>
          </w:p>
        </w:tc>
        <w:tc>
          <w:tcPr>
            <w:tcW w:type="dxa" w:w="5040"/>
          </w:tcPr>
          <w:p>
            <w:r/>
            <w:r>
              <w:rPr>
                <w:b w:val="0"/>
                <w:color w:val="111827"/>
                <w:sz w:val="16"/>
              </w:rPr>
              <w:t>artifact://scope_lock/1.0/art_scope_lock_ef69b2e85a5643f1</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artifact://variant_inventory/1.0/art_variant_inventory_8e5d5ca40ce14b2e</w:t>
            </w:r>
          </w:p>
        </w:tc>
      </w:tr>
      <w:tr>
        <w:tc>
          <w:tcPr>
            <w:tcW w:type="dxa" w:w="5040"/>
          </w:tcPr>
          <w:p>
            <w:r/>
            <w:r>
              <w:rPr>
                <w:b w:val="0"/>
                <w:color w:val="111827"/>
                <w:sz w:val="16"/>
              </w:rPr>
              <w:t>event_map_ref</w:t>
            </w:r>
          </w:p>
        </w:tc>
        <w:tc>
          <w:tcPr>
            <w:tcW w:type="dxa" w:w="5040"/>
          </w:tcPr>
          <w:p>
            <w:r/>
            <w:r>
              <w:rPr>
                <w:b w:val="0"/>
                <w:color w:val="111827"/>
                <w:sz w:val="16"/>
              </w:rPr>
              <w:t>artifact://event_map/1.0/art_event_map_7971504bce98432c</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artifact://sql_catalog/1.0/art_sql_catalog_b78b4dd15ee946d0</w:t>
            </w:r>
          </w:p>
        </w:tc>
      </w:tr>
      <w:tr>
        <w:tc>
          <w:tcPr>
            <w:tcW w:type="dxa" w:w="5040"/>
          </w:tcPr>
          <w:p>
            <w:r/>
            <w:r>
              <w:rPr>
                <w:b w:val="0"/>
                <w:color w:val="111827"/>
                <w:sz w:val="16"/>
              </w:rPr>
              <w:t>sql_map_ref</w:t>
            </w:r>
          </w:p>
        </w:tc>
        <w:tc>
          <w:tcPr>
            <w:tcW w:type="dxa" w:w="5040"/>
          </w:tcPr>
          <w:p>
            <w:r/>
            <w:r>
              <w:rPr>
                <w:b w:val="0"/>
                <w:color w:val="111827"/>
                <w:sz w:val="16"/>
              </w:rPr>
              <w:t>artifact://sql_map/1.0/art_sql_map_06fd925b57604caa</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artifact://data_access_map/1.0/art_data_access_map_0aa41a7e836d448b</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artifact://recordset_ops/1.0/art_recordset_ops_fd23f3eb047441b5</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artifact://procedure_summary/1.0/art_procedure_summary_cbd21955b416457b</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artifact://form_dossier/1.0/art_form_dossier_6b6cee8d4ef74e7b</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artifact://dependency_inventory/1.0/art_dependency_inventory_7828b81468714445</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artifact://dependency_inventory/1.0/art_dependency_inventory_7828b81468714445</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artifact://business_rule_catalog/1.0/art_business_rule_catalog_33e8c3b3c84d415f</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artifact://detector_findings/1.0/art_detector_findings_68071a19bffb48a3</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artifact://risk_register/1.0/art_risk_register_6c3902d9d2924d2c</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artifact://orphan_analysis/1.0/art_orphan_analysis_9b077d54bc604315</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artifact://delivery_constitution/1.0/art_delivery_constitution_38827db144fb4534</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artifact://variant_diff_report/1.0/art_variant_diff_report_1f8539a536e64e49</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artifact://reporting_model/1.0/art_reporting_model_b3744d08f2484760</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artifact://identity_access_model/1.0/art_identity_access_model_8958e28e3aa84f15</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artifact://discover_review_checklist/1.0/art_discover_review_checklist_3ffad2406e7d4518</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artifact://artifact_index/1.0/art_artifact_index_1c3042e59eff4295</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runctx://runctx-0b2f7b51900b1c23/kctx-9902e42d32f8c0bb</w:t>
            </w:r>
          </w:p>
        </w:tc>
      </w:tr>
      <w:tr>
        <w:tc>
          <w:tcPr>
            <w:tcW w:type="dxa" w:w="5040"/>
          </w:tcPr>
          <w:p>
            <w:r/>
            <w:r>
              <w:rPr>
                <w:b w:val="0"/>
                <w:color w:val="111827"/>
                <w:sz w:val="16"/>
              </w:rPr>
              <w:t>run_delivery_constitution_ref</w:t>
            </w:r>
          </w:p>
        </w:tc>
        <w:tc>
          <w:tcPr>
            <w:tcW w:type="dxa" w:w="5040"/>
          </w:tcPr>
          <w:p>
            <w:r/>
            <w:r>
              <w:rPr>
                <w:b w:val="0"/>
                <w:color w:val="111827"/>
                <w:sz w:val="16"/>
              </w:rPr>
              <w:t>runctx://runctx-0b2f7b51900b1c23/delivery_constitution/const-081575509eee</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