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structured routing and middleware support.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LINQ support.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 to reduce boilerplate code.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error responses and Result&lt;T&gt; for operation outcomes.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with Azure AD for secure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to leverage both heuristic and LLM-enriched techniques.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a corrected parity stance to improve system reliability.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to maintain consistency with .NET ecosystem.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structured routing and middleware support.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LINQ support.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 to reduce boilerplate code.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error responses and Result&lt;T&gt; for operation outcomes.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with Azure AD for secure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to leverage both heuristic and LLM-enriched techniques.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a corrected parity stance to improve system reliability.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to maintain consistency with .NET ecosystem.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 with load balancing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System maintains a response time of &lt;500ms under peak load. (verified via Load test at 10× expected peak; measure p95/p99.)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[NFR-004·MUST] Retry success rate of 99.9% under normal conditions. (verified via Reliability test with controlled failure injection.)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Retry logic scales to support 10,000 concurrent users. (verified via Scalability test with concurrent user simulation.)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security vulnerabilities related to retry logic. (verified via SAST + pre-prod pen test.)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User satisfaction score of 90% for retry configuration interface. (verified via Usability testing with user feedback sessions.)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4472677a1fc27c46a7d57babe787f3377224a31eec2beefdbc6aeca564fe9dc3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3eb21831ae21bf994a06ccd6f1dbb046472bb724949e063a86cff6f1d4427001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