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Chirp Backend Modernization Workbook</w:t>
            </w:r>
          </w:p>
        </w:tc>
      </w:tr>
    </w:tbl>
    <w:p>
      <w:r>
        <w:rPr>
          <w:b/>
          <w:color w:val="1F6B75"/>
          <w:sz w:val="26"/>
        </w:rPr>
        <w:t>Chirp Backend Modernization</w:t>
      </w:r>
    </w:p>
    <w:p>
      <w:r>
        <w:rPr>
          <w:b w:val="0"/>
          <w:color w:val="111827"/>
          <w:sz w:val="20"/>
        </w:rPr>
        <w:t>Guidance for migrating Chirp's backend from Kotlin Spring to Go-based architecture.</w:t>
      </w:r>
    </w:p>
    <w:p>
      <w:r>
        <w:rPr>
          <w:b w:val="0"/>
          <w:color w:val="6B7280"/>
          <w:sz w:val="18"/>
        </w:rPr>
        <w:t>Run 20260514_064256_207343e5  ·  Generated 2026-05-14T10:43:34.044720+00:00  ·  Repo Synthetix</w:t>
      </w:r>
    </w:p>
    <w:p/>
    <w:p>
      <w:pPr>
        <w:pStyle w:val="Heading1"/>
      </w:pPr>
      <w:r>
        <w:t>Executive Snapshot</w:t>
      </w:r>
    </w:p>
    <w:p>
      <w:r>
        <w:rPr>
          <w:b w:val="0"/>
          <w:color w:val="6B7280"/>
          <w:sz w:val="18"/>
        </w:rPr>
        <w:t>Overview of the modernization strategy and current readiness.</w:t>
      </w:r>
    </w:p>
    <w:p>
      <w:r>
        <w:rPr>
          <w:b/>
          <w:color w:val="2E75B6"/>
          <w:sz w:val="20"/>
        </w:rPr>
        <w:t xml:space="preserve">Objective: </w:t>
      </w:r>
      <w:r>
        <w:rPr>
          <w:b w:val="0"/>
          <w:color w:val="111827"/>
          <w:sz w:val="20"/>
        </w:rPr>
        <w:t>Migrate the Chirp backend from Kotlin Spring to a Go-based architecture while ensuring all legacy source files are correctly processed and translated.</w:t>
      </w:r>
    </w:p>
    <w:p>
      <w:r>
        <w:rPr>
          <w:b/>
          <w:color w:val="2E75B6"/>
          <w:sz w:val="20"/>
        </w:rPr>
        <w:t xml:space="preserve">Summary: </w:t>
      </w:r>
      <w:r>
        <w:rPr>
          <w:b w:val="0"/>
          <w:color w:val="111827"/>
          <w:sz w:val="20"/>
        </w:rPr>
        <w:t>Phased modernization recommended.</w:t>
      </w:r>
    </w:p>
    <w:p>
      <w:r>
        <w:rPr>
          <w:b w:val="0"/>
          <w:color w:val="111827"/>
          <w:sz w:val="20"/>
        </w:rPr>
        <w:t>This workbook outlines the phased approach for modernizing the Chirp backend. The primary objective is to migrate from a Kotlin Spring framework to a Go-based architecture, ensuring all legacy source files are accurately processed and translated. The strategy involves preserving existing behavior initially, followed by controlled modernization phases. The readiness score is currently at 60, with a medium risk tier. The modernization will be executed in three phases: establishing a baseline, incremental migration, and final hardening.</w:t>
      </w:r>
    </w:p>
    <w:p>
      <w:pPr>
        <w:pStyle w:val="ListParagraph"/>
      </w:pPr>
      <w:r>
        <w:rPr>
          <w:b w:val="0"/>
          <w:color w:val="111827"/>
          <w:sz w:val="18"/>
        </w:rPr>
        <w:t>- Objective: Migrate Chirp backend to Go-based architecture.</w:t>
      </w:r>
    </w:p>
    <w:p>
      <w:pPr>
        <w:pStyle w:val="ListParagraph"/>
      </w:pPr>
      <w:r>
        <w:rPr>
          <w:b w:val="0"/>
          <w:color w:val="111827"/>
          <w:sz w:val="18"/>
        </w:rPr>
        <w:t>- Current readiness score: 60, risk tier: medium.</w:t>
      </w:r>
    </w:p>
    <w:p>
      <w:pPr>
        <w:pStyle w:val="ListParagraph"/>
      </w:pPr>
      <w:r>
        <w:rPr>
          <w:b w:val="0"/>
          <w:color w:val="111827"/>
          <w:sz w:val="18"/>
        </w:rPr>
        <w:t>- Phased strategy: Preserve behavior, then modernize.</w:t>
      </w:r>
    </w:p>
    <w:p>
      <w:pPr>
        <w:pStyle w:val="ListParagraph"/>
      </w:pPr>
      <w:r>
        <w:rPr>
          <w:b w:val="0"/>
          <w:color w:val="111827"/>
          <w:sz w:val="18"/>
        </w:rPr>
        <w:t>- Phase 1: Baseline and equivalence harness.</w:t>
      </w:r>
    </w:p>
    <w:p>
      <w:pPr>
        <w:pStyle w:val="ListParagraph"/>
      </w:pPr>
      <w:r>
        <w:rPr>
          <w:b w:val="0"/>
          <w:color w:val="111827"/>
          <w:sz w:val="18"/>
        </w:rPr>
        <w:t>- Phase 2: Incremental migration with risk controls.</w:t>
      </w:r>
    </w:p>
    <w:p>
      <w:pPr>
        <w:pStyle w:val="ListParagraph"/>
      </w:pPr>
      <w:r>
        <w:rPr>
          <w:b w:val="0"/>
          <w:color w:val="111827"/>
          <w:sz w:val="18"/>
        </w:rPr>
        <w:t>- Phase 3: Hardening and release evidence.</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w:t>
      </w:r>
      <w:r>
        <w:rPr>
          <w:b w:val="0"/>
          <w:color w:val="111827"/>
          <w:sz w:val="18"/>
        </w:rPr>
        <w:t>Current readiness score is 60.</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pass=13, warn=3,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13</w:t>
            </w:r>
          </w:p>
        </w:tc>
        <w:tc>
          <w:tcPr>
            <w:tcW w:type="dxa" w:w="1680"/>
          </w:tcPr>
          <w:p>
            <w:r/>
            <w:r>
              <w:rPr>
                <w:b w:val="0"/>
                <w:color w:val="111827"/>
                <w:sz w:val="18"/>
              </w:rPr>
              <w:t>3</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pass=13, warn=3,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total=5532, forms=0, modules=0, classes=0, profile_forms=0, profile_designer=0.</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of dependencies to ensure seamless migration.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Details on forms and modules for migration.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Capture and analyze golden flows for baseline.</w:t>
      </w:r>
    </w:p>
    <w:p>
      <w:r>
        <w:br w:type="page"/>
      </w:r>
    </w:p>
    <w:p>
      <w:pPr>
        <w:pStyle w:val="Heading1"/>
      </w:pPr>
      <w:r>
        <w:t>Section Q - Form Traceability Matrix</w:t>
      </w:r>
    </w:p>
    <w:p>
      <w:r>
        <w:rPr>
          <w:b w:val="0"/>
          <w:color w:val="6B7280"/>
          <w:sz w:val="18"/>
        </w:rPr>
        <w:t>Ensure traceability of changes throughout phases.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sprints aligned with modernization phases.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Identification and management of potential risks.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loss of functionality during translation.</w:t>
            </w:r>
          </w:p>
        </w:tc>
        <w:tc>
          <w:tcPr>
            <w:tcW w:type="dxa" w:w="2520"/>
          </w:tcPr>
          <w:p>
            <w:r/>
            <w:r>
              <w:rPr>
                <w:b w:val="0"/>
                <w:color w:val="111827"/>
                <w:sz w:val="16"/>
              </w:rPr>
              <w:t>Implement thorough testing and validation post-translation.</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Performance degradation in the new Go system.</w:t>
            </w:r>
          </w:p>
        </w:tc>
        <w:tc>
          <w:tcPr>
            <w:tcW w:type="dxa" w:w="2520"/>
            <w:shd w:val="clear" w:color="auto" w:fill="F3F4F6"/>
          </w:tcPr>
          <w:p>
            <w:r/>
            <w:r>
              <w:rPr>
                <w:b w:val="0"/>
                <w:color w:val="111827"/>
                <w:sz w:val="16"/>
              </w:rPr>
              <w:t>Conduct performance benchmarking and optimization.</w:t>
            </w:r>
          </w:p>
        </w:tc>
      </w:tr>
      <w:tr>
        <w:tc>
          <w:tcPr>
            <w:tcW w:type="dxa" w:w="2520"/>
          </w:tcPr>
          <w:p>
            <w:r/>
            <w:r>
              <w:rPr>
                <w:b w:val="0"/>
                <w:color w:val="111827"/>
                <w:sz w:val="16"/>
              </w:rPr>
              <w:t>RISK-3</w:t>
            </w:r>
          </w:p>
        </w:tc>
        <w:tc>
          <w:tcPr>
            <w:tcW w:type="dxa" w:w="2520"/>
            <w:shd w:val="clear" w:color="auto" w:fill="FEF3C7"/>
          </w:tcPr>
          <w:p>
            <w:r/>
            <w:r>
              <w:rPr>
                <w:b w:val="0"/>
                <w:color w:val="111827"/>
                <w:sz w:val="16"/>
              </w:rPr>
              <w:t>MEDIUM</w:t>
            </w:r>
          </w:p>
        </w:tc>
        <w:tc>
          <w:tcPr>
            <w:tcW w:type="dxa" w:w="2520"/>
          </w:tcPr>
          <w:p>
            <w:r/>
            <w:r>
              <w:rPr>
                <w:b w:val="0"/>
                <w:color w:val="111827"/>
                <w:sz w:val="16"/>
              </w:rPr>
              <w:t>Security vulnerabilities in the new system.</w:t>
            </w:r>
          </w:p>
        </w:tc>
        <w:tc>
          <w:tcPr>
            <w:tcW w:type="dxa" w:w="2520"/>
          </w:tcPr>
          <w:p>
            <w:r/>
            <w:r>
              <w:rPr>
                <w:b w:val="0"/>
                <w:color w:val="111827"/>
                <w:sz w:val="16"/>
              </w:rPr>
              <w:t>Perform security audits and penetration testing.</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artifact://legacy_inventory/1.0/art_legacy_inventory_79f1ce0947da4c01</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artifact://repo_landscape/1.0/art_repo_landscape_9ff8cea6662047c5</w:t>
            </w:r>
          </w:p>
        </w:tc>
      </w:tr>
      <w:tr>
        <w:tc>
          <w:tcPr>
            <w:tcW w:type="dxa" w:w="5040"/>
          </w:tcPr>
          <w:p>
            <w:r/>
            <w:r>
              <w:rPr>
                <w:b w:val="0"/>
                <w:color w:val="111827"/>
                <w:sz w:val="16"/>
              </w:rPr>
              <w:t>scope_lock_ref</w:t>
            </w:r>
          </w:p>
        </w:tc>
        <w:tc>
          <w:tcPr>
            <w:tcW w:type="dxa" w:w="5040"/>
          </w:tcPr>
          <w:p>
            <w:r/>
            <w:r>
              <w:rPr>
                <w:b w:val="0"/>
                <w:color w:val="111827"/>
                <w:sz w:val="16"/>
              </w:rPr>
              <w:t>artifact://scope_lock/1.0/art_scope_lock_86165363c52049b9</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artifact://variant_inventory/1.0/art_variant_inventory_7234415748ad439a</w:t>
            </w:r>
          </w:p>
        </w:tc>
      </w:tr>
      <w:tr>
        <w:tc>
          <w:tcPr>
            <w:tcW w:type="dxa" w:w="5040"/>
          </w:tcPr>
          <w:p>
            <w:r/>
            <w:r>
              <w:rPr>
                <w:b w:val="0"/>
                <w:color w:val="111827"/>
                <w:sz w:val="16"/>
              </w:rPr>
              <w:t>event_map_ref</w:t>
            </w:r>
          </w:p>
        </w:tc>
        <w:tc>
          <w:tcPr>
            <w:tcW w:type="dxa" w:w="5040"/>
          </w:tcPr>
          <w:p>
            <w:r/>
            <w:r>
              <w:rPr>
                <w:b w:val="0"/>
                <w:color w:val="111827"/>
                <w:sz w:val="16"/>
              </w:rPr>
              <w:t>artifact://event_map/1.0/art_event_map_1a1b40de6d1e452d</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artifact://sql_catalog/1.0/art_sql_catalog_d5f44e73ff974e6a</w:t>
            </w:r>
          </w:p>
        </w:tc>
      </w:tr>
      <w:tr>
        <w:tc>
          <w:tcPr>
            <w:tcW w:type="dxa" w:w="5040"/>
          </w:tcPr>
          <w:p>
            <w:r/>
            <w:r>
              <w:rPr>
                <w:b w:val="0"/>
                <w:color w:val="111827"/>
                <w:sz w:val="16"/>
              </w:rPr>
              <w:t>sql_map_ref</w:t>
            </w:r>
          </w:p>
        </w:tc>
        <w:tc>
          <w:tcPr>
            <w:tcW w:type="dxa" w:w="5040"/>
          </w:tcPr>
          <w:p>
            <w:r/>
            <w:r>
              <w:rPr>
                <w:b w:val="0"/>
                <w:color w:val="111827"/>
                <w:sz w:val="16"/>
              </w:rPr>
              <w:t>artifact://sql_map/1.0/art_sql_map_4789251a27fe4f56</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artifact://data_access_map/1.0/art_data_access_map_064081a2f2244d85</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artifact://recordset_ops/1.0/art_recordset_ops_04d279662ab54c95</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artifact://procedure_summary/1.0/art_procedure_summary_a4cd309507af4784</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artifact://form_dossier/1.0/art_form_dossier_6754e4133dc347dc</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artifact://dependency_inventory/1.0/art_dependency_inventory_f1e22ea61c2e469c</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artifact://dependency_inventory/1.0/art_dependency_inventory_f1e22ea61c2e469c</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artifact://business_rule_catalog/1.0/art_business_rule_catalog_2e42ef48bf5e4afd</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artifact://detector_findings/1.0/art_detector_findings_9a5f3d292a71449f</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artifact://risk_register/1.0/art_risk_register_0d7a74346e8a4909</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artifact://orphan_analysis/1.0/art_orphan_analysis_b81c2c7f19a84e6e</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artifact://delivery_constitution/1.0/art_delivery_constitution_fd369fe55f764e19</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artifact://variant_diff_report/1.0/art_variant_diff_report_20718f68e8ed4c32</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artifact://reporting_model/1.0/art_reporting_model_57a443cd102547b3</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artifact://identity_access_model/1.0/art_identity_access_model_51316f02fa0041d3</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artifact://discover_review_checklist/1.0/art_discover_review_checklist_ba2957ec637f4a6a</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artifact://artifact_index/1.0/art_artifact_index_733eaf79f87744ac</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runctx://runctx-ea07a66ec7c51d70/kctx-15b3c2bc8c946c76</w:t>
            </w:r>
          </w:p>
        </w:tc>
      </w:tr>
      <w:tr>
        <w:tc>
          <w:tcPr>
            <w:tcW w:type="dxa" w:w="5040"/>
          </w:tcPr>
          <w:p>
            <w:r/>
            <w:r>
              <w:rPr>
                <w:b w:val="0"/>
                <w:color w:val="111827"/>
                <w:sz w:val="16"/>
              </w:rPr>
              <w:t>run_delivery_constitution_ref</w:t>
            </w:r>
          </w:p>
        </w:tc>
        <w:tc>
          <w:tcPr>
            <w:tcW w:type="dxa" w:w="5040"/>
          </w:tcPr>
          <w:p>
            <w:r/>
            <w:r>
              <w:rPr>
                <w:b w:val="0"/>
                <w:color w:val="111827"/>
                <w:sz w:val="16"/>
              </w:rPr>
              <w:t>runctx://runctx-ea07a66ec7c51d70/delivery_constitution/const-067d13ce8440</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