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Analyst Brief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B7A8C"/>
          <w:sz w:val="40"/>
          <w:szCs w:val="40"/>
        </w:rPr>
        <w:t xml:space="preserve">Business Analyst Brief</w:t>
      </w:r>
    </w:p>
    <w:p>
      <w:pPr>
        <w:pBdr>
          <w:bottom w:val="single" w:color="1B7A8C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Synthetix AI Analysis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2026-05-14   ·   Repo: https://github.com/philipplackner/chirp-api @ detached (unknown)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Confidential — BA Use Only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Executive Snapshot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 Forms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Level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Coverage Score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LOW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0 / 100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Summary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80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Summary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Modernization Readiness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0/100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Risk Tier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Inventory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 project(s), 0 forms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Recommended Strategy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Phased UI migration recommended.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Decisions Required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The following decisions are needed before migration can proceed. Each is a current blocker for sprint planning.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5540"/>
        <w:gridCol w:w="2100"/>
      </w:tblGrid>
      <w:tr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 Required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 if Deferred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Form Inventory — Business View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active forms across 0 project variants. Inputs show the data fields a user enters. Outputs describe the business effect when the form action completes.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2400"/>
        <w:gridCol w:w="2300"/>
        <w:gridCol w:w="244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Inputs (data fields)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Outputs (business effect)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K1 — Excluded / Unresolved Forms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excluded or unresolved form files are listed here for completeness only. These items are not treated as first-class business scope in the BRD/BA package. They appear across 0 variant project entries where applicable.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4740"/>
        <w:gridCol w:w="24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Name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Found in Variants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Business Rules by Form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Rules are extracted from source code and translated into business language. Each rule is categorised by type and linked to any risk register entry where applicable.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Traceability Coverage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Each active form is scored across four dimensions: event map, SQL map, business rules, and risk register linkage. Score of 100 = fully covered. Score of 0 indicates no extracted traceability evidence for the current run; it should be reviewed as a coverage gap, not automatically interpreted as proof that the business flow does not exist.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Complete (100)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Near-complete (≥80)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 (40–79)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Discovery Gap (&lt;40)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60"/>
        <w:gridCol w:w="820"/>
        <w:gridCol w:w="820"/>
        <w:gridCol w:w="820"/>
        <w:gridCol w:w="820"/>
        <w:gridCol w:w="380"/>
      </w:tblGrid>
      <w:tr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3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Risk Register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All risks extracted by the analysis platform. High severity risks must be resolved before go-live.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640"/>
        <w:gridCol w:w="2100"/>
      </w:tblGrid>
      <w:tr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Appendix A. Delivery Sequencing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Sprint sequencing is provided as a delivery appendix rather than core business scope. Sprint 0 = discovery closure required (0 forms). Sprint 1 = risk-first migration of core transactional forms. Sprint 2 = parity hardening. Shared Components must be built before any form that lists them can be migrated.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3480"/>
        <w:gridCol w:w="3480"/>
      </w:tblGrid>
      <w:tr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0 — Discovery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1 — Risk-First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2 — Hardening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800"/>
        <w:gridCol w:w="2400"/>
        <w:gridCol w:w="24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Components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Confidential — BA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Analyst Brief — Business Analyst Brief</w:t>
    </w:r>
    <w:r>
      <w:t xml:space="preserve">	</w:t>
    </w:r>
    <w:r>
      <w:rPr>
        <w:rFonts w:ascii="Arial" w:cs="Arial" w:eastAsia="Arial" w:hAnsi="Arial"/>
        <w:color w:val="1B7A8C"/>
        <w:sz w:val="16"/>
        <w:szCs w:val="16"/>
      </w:rPr>
      <w:t xml:space="preserve">Synthetix AI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B7A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2026-05-14T10:08:30.824Z</dcterms:created>
  <dcterms:modified xsi:type="dcterms:W3CDTF">2026-05-14T10:08:30.824Z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