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Legacy Modernization Scope Workbook</w:t>
            </w:r>
          </w:p>
        </w:tc>
      </w:tr>
    </w:tbl>
    <w:p>
      <w:r>
        <w:rPr>
          <w:b/>
          <w:color w:val="1F6B75"/>
          <w:sz w:val="26"/>
        </w:rPr>
        <w:t>Legacy Modernization Scope</w:t>
      </w:r>
    </w:p>
    <w:p>
      <w:r>
        <w:rPr>
          <w:b w:val="0"/>
          <w:color w:val="111827"/>
          <w:sz w:val="20"/>
        </w:rPr>
        <w:t>Guidance for Phase 7 smoke testing and modernization strategies.</w:t>
      </w:r>
    </w:p>
    <w:p>
      <w:r>
        <w:rPr>
          <w:b w:val="0"/>
          <w:color w:val="6B7280"/>
          <w:sz w:val="18"/>
        </w:rPr>
        <w:t>Run 20260513_134523_736a5a9d  ·  Generated 2026-05-13T13:46:24.882848+00:00  ·  Repo app</w:t>
      </w:r>
    </w:p>
    <w:p/>
    <w:p>
      <w:pPr>
        <w:pStyle w:val="Heading1"/>
      </w:pPr>
      <w:r>
        <w:t>Executive Snapshot</w:t>
      </w:r>
    </w:p>
    <w:p>
      <w:r>
        <w:rPr>
          <w:b w:val="0"/>
          <w:color w:val="6B7280"/>
          <w:sz w:val="18"/>
        </w:rPr>
        <w:t>Overview of the modernization strategy and current project status.</w:t>
      </w:r>
    </w:p>
    <w:p>
      <w:r>
        <w:rPr>
          <w:b/>
          <w:color w:val="2E75B6"/>
          <w:sz w:val="20"/>
        </w:rPr>
        <w:t xml:space="preserve">Objective: </w:t>
      </w:r>
      <w:r>
        <w:rPr>
          <w:b w:val="0"/>
          <w:color w:val="111827"/>
          <w:sz w:val="20"/>
        </w:rPr>
        <w:t>Phase 7 smoke (cap=5 component-wide + gpt-4o-mini override).</w:t>
      </w:r>
    </w:p>
    <w:p>
      <w:r>
        <w:rPr>
          <w:b/>
          <w:color w:val="2E75B6"/>
          <w:sz w:val="20"/>
        </w:rPr>
        <w:t xml:space="preserve">Summary: </w:t>
      </w:r>
      <w:r>
        <w:rPr>
          <w:b w:val="0"/>
          <w:color w:val="111827"/>
          <w:sz w:val="20"/>
        </w:rPr>
        <w:t>Phased modernization recommended.</w:t>
      </w:r>
    </w:p>
    <w:p>
      <w:r>
        <w:rPr>
          <w:b w:val="0"/>
          <w:color w:val="111827"/>
          <w:sz w:val="20"/>
        </w:rPr>
        <w:t>This workbook provides a structured approach to the modernization of legacy systems, focusing on Phase 7 smoke testing. The objective is to ensure system readiness and mitigate risks through a phased modernization strategy. With a readiness score of 60 and a medium risk tier, the project aims to preserve existing behaviors while gradually implementing modern technologies. The phased approach includes capturing baseline outputs, migrating components with controlled risk, and finalizing quality gates.</w:t>
      </w:r>
    </w:p>
    <w:p>
      <w:pPr>
        <w:pStyle w:val="ListParagraph"/>
      </w:pPr>
      <w:r>
        <w:rPr>
          <w:b w:val="0"/>
          <w:color w:val="111827"/>
          <w:sz w:val="18"/>
        </w:rPr>
        <w:t>- Objective: Phase 7 smoke testing with a focus on system readiness.</w:t>
      </w:r>
    </w:p>
    <w:p>
      <w:pPr>
        <w:pStyle w:val="ListParagraph"/>
      </w:pPr>
      <w:r>
        <w:rPr>
          <w:b w:val="0"/>
          <w:color w:val="111827"/>
          <w:sz w:val="18"/>
        </w:rPr>
        <w:t>- Readiness score is currently at 60, indicating moderate preparedness.</w:t>
      </w:r>
    </w:p>
    <w:p>
      <w:pPr>
        <w:pStyle w:val="ListParagraph"/>
      </w:pPr>
      <w:r>
        <w:rPr>
          <w:b w:val="0"/>
          <w:color w:val="111827"/>
          <w:sz w:val="18"/>
        </w:rPr>
        <w:t>- Risk tier is medium, necessitating careful risk management.</w:t>
      </w:r>
    </w:p>
    <w:p>
      <w:pPr>
        <w:pStyle w:val="ListParagraph"/>
      </w:pPr>
      <w:r>
        <w:rPr>
          <w:b w:val="0"/>
          <w:color w:val="111827"/>
          <w:sz w:val="18"/>
        </w:rPr>
        <w:t>- Phased modernization strategy to preserve behavior first.</w:t>
      </w:r>
    </w:p>
    <w:p>
      <w:pPr>
        <w:pStyle w:val="ListParagraph"/>
      </w:pPr>
      <w:r>
        <w:rPr>
          <w:b w:val="0"/>
          <w:color w:val="111827"/>
          <w:sz w:val="18"/>
        </w:rPr>
        <w:t>- No current inventory of projects, forms, or dependencies.</w:t>
      </w:r>
    </w:p>
    <w:p>
      <w:pPr>
        <w:pStyle w:val="ListParagraph"/>
      </w:pPr>
      <w:r>
        <w:rPr>
          <w:b w:val="0"/>
          <w:color w:val="111827"/>
          <w:sz w:val="18"/>
        </w:rPr>
        <w:t>- Focus on capturing golden flows and baseline outputs.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60/100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medium</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Readiness Score: </w:t>
      </w:r>
      <w:r>
        <w:rPr>
          <w:b w:val="0"/>
          <w:color w:val="111827"/>
          <w:sz w:val="18"/>
        </w:rPr>
        <w:t>Current readiness score is 60.</w:t>
      </w:r>
    </w:p>
    <w:p>
      <w:pPr>
        <w:pStyle w:val="Heading2"/>
      </w:pPr>
      <w:r>
        <w:t>Recommended Modernization Strategy</w:t>
      </w:r>
    </w:p>
    <w:p>
      <w:r>
        <w:rPr>
          <w:b/>
          <w:color w:val="1F6B75"/>
          <w:sz w:val="20"/>
        </w:rPr>
        <w:t xml:space="preserve">Phased modernization: </w:t>
      </w:r>
      <w:r>
        <w:rPr>
          <w:b w:val="0"/>
          <w:color w:val="111827"/>
          <w:sz w:val="20"/>
        </w:rPr>
        <w:t>Preserve behavior first, then modernize in controlled phases.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pass=12, warn=4,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12</w:t>
            </w:r>
          </w:p>
        </w:tc>
        <w:tc>
          <w:tcPr>
            <w:tcW w:type="dxa" w:w="1680"/>
          </w:tcPr>
          <w:p>
            <w:r/>
            <w:r>
              <w:rPr>
                <w:b w:val="0"/>
                <w:color w:val="111827"/>
                <w:sz w:val="18"/>
              </w:rPr>
              <w:t>4</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pass=12, warn=4,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0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Rule scope form references resolve against discovered form inventory.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Analysis of existing dependencies and their impact on modernization.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Documentation of forms involved in the modernization process.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8"/>
              </w:rPr>
              <w:t>BR-NA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No business rules available</w:t>
            </w:r>
          </w:p>
        </w:tc>
        <w:tc>
          <w:tcPr>
            <w:tcW w:type="dxa" w:w="1680"/>
          </w:tcPr>
          <w:p>
            <w:r/>
            <w:r>
              <w:rPr>
                <w:b w:val="0"/>
                <w:color w:val="111827"/>
                <w:sz w:val="18"/>
              </w:rPr>
              <w:t>none</w:t>
            </w:r>
          </w:p>
        </w:tc>
      </w:tr>
    </w:tbl>
    <w:p>
      <w:r>
        <w:br w:type="page"/>
      </w:r>
    </w:p>
    <w:p>
      <w:pPr>
        <w:pStyle w:val="Heading1"/>
      </w:pPr>
      <w:r>
        <w:t>Section P - Form Flow Traces</w:t>
      </w:r>
    </w:p>
    <w:p>
      <w:r>
        <w:rPr>
          <w:b w:val="0"/>
          <w:color w:val="6B7280"/>
          <w:sz w:val="18"/>
        </w:rPr>
        <w:t>Detailed tracing of system flows to ensure baseline capture.</w:t>
      </w:r>
    </w:p>
    <w:p>
      <w:r>
        <w:br w:type="page"/>
      </w:r>
    </w:p>
    <w:p>
      <w:pPr>
        <w:pStyle w:val="Heading1"/>
      </w:pPr>
      <w:r>
        <w:t>Section Q - Form Traceability Matrix</w:t>
      </w:r>
    </w:p>
    <w:p>
      <w:r>
        <w:rPr>
          <w:b w:val="0"/>
          <w:color w:val="6B7280"/>
          <w:sz w:val="18"/>
        </w:rPr>
        <w:t>Ensuring traceability of changes throughout the modernization phases.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sprints designed to achieve modernization objectives.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Identification and management of risks associated with modernization.</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RISK-PARSE-001</w:t>
            </w:r>
          </w:p>
        </w:tc>
        <w:tc>
          <w:tcPr>
            <w:tcW w:type="dxa" w:w="2520"/>
            <w:shd w:val="clear" w:color="auto" w:fill="FEF3C7"/>
          </w:tcPr>
          <w:p>
            <w:r/>
            <w:r>
              <w:rPr>
                <w:b w:val="0"/>
                <w:color w:val="111827"/>
                <w:sz w:val="16"/>
              </w:rPr>
              <w:t>MEDIUM</w:t>
            </w:r>
          </w:p>
        </w:tc>
        <w:tc>
          <w:tcPr>
            <w:tcW w:type="dxa" w:w="2520"/>
          </w:tcPr>
          <w:p>
            <w:r/>
            <w:r>
              <w:rPr>
                <w:b w:val="0"/>
                <w:color w:val="111827"/>
                <w:sz w:val="16"/>
              </w:rPr>
              <w:t>The primary Analyst LLM response could not be parsed into valid JSON, so Synthetix compiled the requirements pack from deterministic evidence instead.</w:t>
            </w:r>
          </w:p>
        </w:tc>
        <w:tc>
          <w:tcPr>
            <w:tcW w:type="dxa" w:w="2520"/>
          </w:tcPr>
          <w:p>
            <w:r/>
            <w:r>
              <w:rPr>
                <w:b w:val="0"/>
                <w:color w:val="111827"/>
                <w:sz w:val="16"/>
              </w:rPr>
              <w:t>Review the generated artifacts and rerun with a stricter output contract if additional narrative depth is required.</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artifact://legacy_inventory/1.0/art_legacy_inventory_f644ac87ba1641a4</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artifact://repo_landscape/1.0/art_repo_landscape_e15779953c2b4a0b</w:t>
            </w:r>
          </w:p>
        </w:tc>
      </w:tr>
      <w:tr>
        <w:tc>
          <w:tcPr>
            <w:tcW w:type="dxa" w:w="5040"/>
          </w:tcPr>
          <w:p>
            <w:r/>
            <w:r>
              <w:rPr>
                <w:b w:val="0"/>
                <w:color w:val="111827"/>
                <w:sz w:val="16"/>
              </w:rPr>
              <w:t>scope_lock_ref</w:t>
            </w:r>
          </w:p>
        </w:tc>
        <w:tc>
          <w:tcPr>
            <w:tcW w:type="dxa" w:w="5040"/>
          </w:tcPr>
          <w:p>
            <w:r/>
            <w:r>
              <w:rPr>
                <w:b w:val="0"/>
                <w:color w:val="111827"/>
                <w:sz w:val="16"/>
              </w:rPr>
              <w:t>artifact://scope_lock/1.0/art_scope_lock_36c436f37aa24095</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artifact://variant_inventory/1.0/art_variant_inventory_c7f83e0fd7494058</w:t>
            </w:r>
          </w:p>
        </w:tc>
      </w:tr>
      <w:tr>
        <w:tc>
          <w:tcPr>
            <w:tcW w:type="dxa" w:w="5040"/>
          </w:tcPr>
          <w:p>
            <w:r/>
            <w:r>
              <w:rPr>
                <w:b w:val="0"/>
                <w:color w:val="111827"/>
                <w:sz w:val="16"/>
              </w:rPr>
              <w:t>event_map_ref</w:t>
            </w:r>
          </w:p>
        </w:tc>
        <w:tc>
          <w:tcPr>
            <w:tcW w:type="dxa" w:w="5040"/>
          </w:tcPr>
          <w:p>
            <w:r/>
            <w:r>
              <w:rPr>
                <w:b w:val="0"/>
                <w:color w:val="111827"/>
                <w:sz w:val="16"/>
              </w:rPr>
              <w:t>artifact://event_map/1.0/art_event_map_a578f88d137242f5</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artifact://sql_catalog/1.0/art_sql_catalog_4232dc7f90ef4c9a</w:t>
            </w:r>
          </w:p>
        </w:tc>
      </w:tr>
      <w:tr>
        <w:tc>
          <w:tcPr>
            <w:tcW w:type="dxa" w:w="5040"/>
          </w:tcPr>
          <w:p>
            <w:r/>
            <w:r>
              <w:rPr>
                <w:b w:val="0"/>
                <w:color w:val="111827"/>
                <w:sz w:val="16"/>
              </w:rPr>
              <w:t>sql_map_ref</w:t>
            </w:r>
          </w:p>
        </w:tc>
        <w:tc>
          <w:tcPr>
            <w:tcW w:type="dxa" w:w="5040"/>
          </w:tcPr>
          <w:p>
            <w:r/>
            <w:r>
              <w:rPr>
                <w:b w:val="0"/>
                <w:color w:val="111827"/>
                <w:sz w:val="16"/>
              </w:rPr>
              <w:t>artifact://sql_map/1.0/art_sql_map_2950e27f8f7c4957</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artifact://data_access_map/1.0/art_data_access_map_cd49a59b89984d32</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artifact://recordset_ops/1.0/art_recordset_ops_578e18a0986c42bc</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artifact://procedure_summary/1.0/art_procedure_summary_3dc9b6ac9efe4009</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artifact://form_dossier/1.0/art_form_dossier_145d86fdbb914604</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artifact://dependency_inventory/1.0/art_dependency_inventory_dd3f2465b3744ae1</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artifact://dependency_inventory/1.0/art_dependency_inventory_dd3f2465b3744ae1</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artifact://business_rule_catalog/1.0/art_business_rule_catalog_110fee1f2de24feb</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artifact://detector_findings/1.0/art_detector_findings_43155e341b294705</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artifact://risk_register/1.0/art_risk_register_0ec2f6711ce14897</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artifact://orphan_analysis/1.0/art_orphan_analysis_d470cf6f4405440a</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artifact://delivery_constitution/1.0/art_delivery_constitution_44a894f3e3524620</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artifact://variant_diff_report/1.0/art_variant_diff_report_e18a84e7e5fe4d69</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artifact://reporting_model/1.0/art_reporting_model_e9e8d157ddcc4f5c</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artifact://identity_access_model/1.0/art_identity_access_model_f63c40712f694b7b</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artifact://discover_review_checklist/1.0/art_discover_review_checklist_e1f66b8404fb40d6</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artifact://artifact_index/1.0/art_artifact_index_c51320f4f3214784</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runctx://runctx-447177e3fd0a3869/kctx-9902e42d32f8c0bb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runctx://runctx-447177e3fd0a3869/delivery_constitution/const-613f0d4f83aa</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