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 w:before="320"/>
      </w:pPr>
      <w:r>
        <w:rPr>
          <w:b/>
          <w:bCs/>
          <w:color w:val="1F3864"/>
          <w:sz w:val="32"/>
          <w:szCs w:val="32"/>
        </w:rPr>
        <w:t xml:space="preserve">MagicBox Code Modernization — VB6 Modernization BRD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1. Executive Summary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Application</w:t>
      </w:r>
      <w:r>
        <w:rPr>
          <w:sz w:val="22"/>
          <w:szCs w:val="22"/>
        </w:rPr>
        <w:t xml:space="preserve">: MagicBox Code Modernization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Source platform</w:t>
      </w:r>
      <w:r>
        <w:rPr>
          <w:sz w:val="22"/>
          <w:szCs w:val="22"/>
        </w:rPr>
        <w:t xml:space="preserve">: Visual Basic 6.0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Lines of code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Active forms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Standard modules (.bas)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Database files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Event handlers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Global variables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Modernization readiness</w:t>
      </w:r>
      <w:r>
        <w:rPr>
          <w:sz w:val="22"/>
          <w:szCs w:val="22"/>
        </w:rPr>
        <w:t xml:space="preserve">: 60/100  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2. Application Inventory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2.1 Forms</w:t>
      </w:r>
    </w:p>
    <w:p>
      <w:pPr>
        <w:spacing w:after="80" w:before="80"/>
      </w:pPr>
      <w:r>
        <w:rPr>
          <w:sz w:val="22"/>
          <w:szCs w:val="22"/>
        </w:rPr>
        <w:t xml:space="preserve">*No form dossiers produced by the pipeline.*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2.2 Standard Modules (.bas)</w:t>
      </w:r>
    </w:p>
    <w:p>
      <w:pPr>
        <w:spacing w:after="80" w:before="80"/>
      </w:pPr>
      <w:r>
        <w:rPr>
          <w:sz w:val="22"/>
          <w:szCs w:val="22"/>
        </w:rPr>
        <w:t xml:space="preserve">*No standard modules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2.3 Database Files</w:t>
      </w:r>
    </w:p>
    <w:p>
      <w:pPr>
        <w:spacing w:after="80" w:before="80"/>
      </w:pPr>
      <w:r>
        <w:rPr>
          <w:sz w:val="22"/>
          <w:szCs w:val="22"/>
        </w:rPr>
        <w:t xml:space="preserve">*No MDB/ACCDB database files detected.*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3. Event Flow &amp; Business Logic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Total event handlers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Handlers with SQL side effects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Handlers with navigation side effects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Handlers with risk flags</w:t>
      </w:r>
      <w:r>
        <w:rPr>
          <w:sz w:val="22"/>
          <w:szCs w:val="22"/>
        </w:rPr>
        <w:t xml:space="preserve">: 0  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4. Data Layer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4a. Functional Requirements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FR-001 — Verify ECA Intake Document Flow (P0)</w:t>
      </w:r>
    </w:p>
    <w:p>
      <w:pPr>
        <w:spacing w:after="80" w:before="80"/>
      </w:pPr>
      <w:r>
        <w:rPr>
          <w:sz w:val="22"/>
          <w:szCs w:val="22"/>
        </w:rPr>
        <w:t xml:space="preserve">Ensure that ECA intake_documents flow correctly into Architect, DP, UI-Scaffold, and Translator components.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ECA intake_documents are successfully received by the Architect component.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ECA intake_documents are processed by the DP component.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ECA intake_documents are integrated into the UI-Scaffold component.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ECA intake_documents are utilized by the Translator component.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FR-002 — Translate 15 Methods (P0)</w:t>
      </w:r>
    </w:p>
    <w:p>
      <w:pPr>
        <w:spacing w:after="80" w:before="80"/>
      </w:pPr>
      <w:r>
        <w:rPr>
          <w:sz w:val="22"/>
          <w:szCs w:val="22"/>
        </w:rPr>
        <w:t xml:space="preserve">Translate 15 methods across components as selected by the Architect.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15 methods are identified and selected for translation.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Each method is translated without module filtering.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Translated methods maintain original functionality.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FR-003 — No Module Filter in Translation (P1)</w:t>
      </w:r>
    </w:p>
    <w:p>
      <w:pPr>
        <w:spacing w:after="80" w:before="80"/>
      </w:pPr>
      <w:r>
        <w:rPr>
          <w:sz w:val="22"/>
          <w:szCs w:val="22"/>
        </w:rPr>
        <w:t xml:space="preserve">Ensure that the translation process does not apply any module filtering.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Translation process is initiated without module filters.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All components are accessible during translation.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Verification that no module filters are applied.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FR-004 — Document Flow Verification Mechanism (P1)</w:t>
      </w:r>
    </w:p>
    <w:p>
      <w:pPr>
        <w:spacing w:after="80" w:before="80"/>
      </w:pPr>
      <w:r>
        <w:rPr>
          <w:sz w:val="22"/>
          <w:szCs w:val="22"/>
        </w:rPr>
        <w:t xml:space="preserve">Implement a mechanism to verify the flow of ECA intake_documents through components.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Mechanism logs document flow through each component.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Alerts are generated for any flow interruptions.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Reports are generated on document flow status.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FR-005 — Method Translation Validation (P1)</w:t>
      </w:r>
    </w:p>
    <w:p>
      <w:pPr>
        <w:spacing w:after="80" w:before="80"/>
      </w:pPr>
      <w:r>
        <w:rPr>
          <w:sz w:val="22"/>
          <w:szCs w:val="22"/>
        </w:rPr>
        <w:t xml:space="preserve">Validate that translated methods function as expected.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Each translated method is tested for functionality.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No regressions are found in translated methods.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Translated methods pass all unit tests.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FR-006 — Component Integration Testing (P2)</w:t>
      </w:r>
    </w:p>
    <w:p>
      <w:pPr>
        <w:spacing w:after="80" w:before="80"/>
      </w:pPr>
      <w:r>
        <w:rPr>
          <w:sz w:val="22"/>
          <w:szCs w:val="22"/>
        </w:rPr>
        <w:t xml:space="preserve">Test integration of components with translated methods.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Components integrate seamlessly with translated methods.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Integration tests pass without errors.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System performance is unaffected by integration.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4b. Non-Functional Requirements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ID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Title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Category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Acceptance criteria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NFR-001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Performance Requirement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performance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Performance tests show no degradation post-translation.; System meets defined response time metrics.; Load tests confirm system stability under expected load.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NFR-002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Security Requirement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security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SAST scan shows zero critical vulnerabilities.; Security audit confirms no new vulnerabilities.; Penetration tests pass without issues.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NFR-003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Scalability Requirement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scalability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Scalability tests confirm support for 10,000 concurrent users.; System performance remains stable under increased load.; No scalability-related issues are detected.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NFR-004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Reliability Requirement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reliability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System uptime is monitored and remains at 99.9% or higher.; No critical failures occur during translation.; Post-translation monitoring shows stable system performance.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NFR-005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Usability Requirement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usability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User feedback is collected and analyzed.; Usability tests confirm no degradation in user experience.; User satisfaction surveys show scores of 85% or higher.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4b1. Business Rules</w:t>
      </w:r>
    </w:p>
    <w:p>
      <w:pPr>
        <w:spacing w:after="80" w:before="80"/>
      </w:pPr>
      <w:r>
        <w:rPr>
          <w:sz w:val="22"/>
          <w:szCs w:val="22"/>
        </w:rPr>
        <w:t xml:space="preserve">Business rules extracted from the legacy codebase — these must be preserved in the modernized system.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ID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Type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Rule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Scope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Evidence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Confidence</w:t>
            </w:r>
          </w:p>
        </w:tc>
      </w:tr>
      <w:tr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BR-001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workflow_orchestration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Placements must be approved before onboarding.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Contractor placement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Controller/Contractor_placement.php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90%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4c. Risks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Risk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Impact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Mitigation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Potential for integration issues during translation.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medium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Conduct thorough integration testing post-translation.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Security vulnerabilities may be introduced during translation.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high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Perform security audits and SAST scans.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5. Blocking Decisions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ID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Decision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Options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Impact if deferred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DEC-VB6-UI-001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Target UI framework for modernized application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WinForms (.NET) · WPF · Blazor · Web (React/Angular)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 migration strategy, event-handler mapping, and control replacement all depend on this choice.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DEC-VB6-DATA-001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Data access strategy replacing DAO/ADO recordsets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Keep ADO.NET · Migrate to Entity Framework Core · Hybrid (ADO.NET for legacy, EF Core for new)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Every form with SQL touchpoints is affected. Wrong choice means rework on recordset-heavy forms.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6. Migration Strategy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Phase 0 — Database Contract Lock</w:t>
      </w:r>
    </w:p>
    <w:p>
      <w:pPr>
        <w:spacing w:after="80" w:before="80"/>
      </w:pPr>
      <w:r>
        <w:rPr>
          <w:sz w:val="22"/>
          <w:szCs w:val="22"/>
        </w:rPr>
        <w:t xml:space="preserve">Freeze schema for 0 database file(s). Document all connection string variants. Establish a migration-safe baseline before touching any forms.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Phase 1 — Data-Entry Form Migration (0 forms)</w:t>
      </w:r>
    </w:p>
    <w:p>
      <w:pPr>
        <w:spacing w:after="80" w:before="80"/>
      </w:pPr>
      <w:r>
        <w:rPr>
          <w:sz w:val="22"/>
          <w:szCs w:val="22"/>
        </w:rPr>
        <w:t xml:space="preserve">Migrate data-entry forms first — they have the highest business value and the most SQL touchpoints. Each form migrates as a unit: UI + event handlers + recordset operations.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Phase 3 — Navigation Shell &amp; Authentication (0 navigation forms)</w:t>
      </w:r>
    </w:p>
    <w:p>
      <w:pPr>
        <w:spacing w:after="80" w:before="80"/>
      </w:pPr>
      <w:r>
        <w:rPr>
          <w:sz w:val="22"/>
          <w:szCs w:val="22"/>
        </w:rPr>
        <w:t xml:space="preserve">Replace the MDI shell and navigation forms. If a login form exists, implement the identity model per DEC-VB6-IAM-001.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Phase 4 — Shared Module Consolidation (0 .bas modules)</w:t>
      </w:r>
    </w:p>
    <w:p>
      <w:pPr>
        <w:spacing w:after="80" w:before="80"/>
      </w:pPr>
      <w:r>
        <w:rPr>
          <w:sz w:val="22"/>
          <w:szCs w:val="22"/>
        </w:rPr>
        <w:t xml:space="preserve">Consolidate global state from shared modules into proper dependency injection. Eliminate public variables and replace with configuration/service abstractions.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7. Quality Gates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Gate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Metric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Value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 dossier coverage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Forms with coverage &gt; 50%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0/0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WARN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Event handler coverage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Handlers with procedure summaries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0/0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WARN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SQL injection risk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Handlers with injection_risk flag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PASS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Dead form references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Unresolved form references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PASS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Orphan forms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Unused forms requiring disposition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PASS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Backlog completeness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Remediation items vs discovered scope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 items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WARN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8. Remediation Backlog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ID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Priority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Item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Acceptance criteria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RM-001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No specific remediations identified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Review form dossiers for coverage gaps.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9. Appendices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A — Form Inventory</w:t>
      </w:r>
    </w:p>
    <w:p>
      <w:pPr>
        <w:spacing w:after="80" w:before="80"/>
      </w:pPr>
      <w:r>
        <w:rPr>
          <w:sz w:val="22"/>
          <w:szCs w:val="22"/>
        </w:rPr>
        <w:t xml:space="preserve">*No form LOC profile available.*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B — Event Map</w:t>
      </w:r>
    </w:p>
    <w:p>
      <w:pPr>
        <w:spacing w:after="80" w:before="80"/>
      </w:pPr>
      <w:r>
        <w:rPr>
          <w:sz w:val="22"/>
          <w:szCs w:val="22"/>
        </w:rPr>
        <w:t xml:space="preserve">*No event map available.*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C — Recordset Operations</w:t>
      </w:r>
    </w:p>
    <w:p>
      <w:pPr>
        <w:spacing w:after="80" w:before="80"/>
      </w:pPr>
      <w:r>
        <w:rPr>
          <w:sz w:val="22"/>
          <w:szCs w:val="22"/>
        </w:rPr>
        <w:t xml:space="preserve">*No recordset operations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D — MDB Inventory</w:t>
      </w:r>
    </w:p>
    <w:p>
      <w:pPr>
        <w:spacing w:after="80" w:before="80"/>
      </w:pPr>
      <w:r>
        <w:rPr>
          <w:sz w:val="22"/>
          <w:szCs w:val="22"/>
        </w:rPr>
        <w:t xml:space="preserve">*No MDB files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E — Connection String Variants</w:t>
      </w:r>
    </w:p>
    <w:p>
      <w:pPr>
        <w:spacing w:after="80" w:before="80"/>
      </w:pPr>
      <w:r>
        <w:rPr>
          <w:sz w:val="22"/>
          <w:szCs w:val="22"/>
        </w:rPr>
        <w:t xml:space="preserve">*No connection strings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F — Module Global Inventory</w:t>
      </w:r>
    </w:p>
    <w:p>
      <w:pPr>
        <w:spacing w:after="80" w:before="80"/>
      </w:pPr>
      <w:r>
        <w:rPr>
          <w:sz w:val="22"/>
          <w:szCs w:val="22"/>
        </w:rPr>
        <w:t xml:space="preserve">*No global variables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G — Dead Form References</w:t>
      </w:r>
    </w:p>
    <w:p>
      <w:pPr>
        <w:spacing w:after="80" w:before="80"/>
      </w:pPr>
      <w:r>
        <w:rPr>
          <w:sz w:val="22"/>
          <w:szCs w:val="22"/>
        </w:rPr>
        <w:t xml:space="preserve">*No dead form references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H — DataEnvironment/Report Mapping</w:t>
      </w:r>
    </w:p>
    <w:p>
      <w:pPr>
        <w:spacing w:after="80" w:before="80"/>
      </w:pPr>
      <w:r>
        <w:rPr>
          <w:sz w:val="22"/>
          <w:szCs w:val="22"/>
        </w:rPr>
        <w:t xml:space="preserve">*No DataEnvironment mappings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I — SQL Catalog</w:t>
      </w:r>
    </w:p>
    <w:p>
      <w:pPr>
        <w:spacing w:after="80" w:before="80"/>
      </w:pPr>
      <w:r>
        <w:rPr>
          <w:sz w:val="22"/>
          <w:szCs w:val="22"/>
        </w:rPr>
        <w:t xml:space="preserve">*No SQL catalog available.*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J — Artifact Index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Artifact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event_map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form_dossier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recordset_ops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mdb_inventory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form_loc_profile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connection_string_variants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module_global_inventory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dead_form_refs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dataenvironment_report_mapping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procedure_summary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source_erd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not available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source_data_dictionary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not available</w:t>
            </w:r>
          </w:p>
        </w:tc>
      </w:tr>
    </w:tbl>
    <w:p>
      <w:pPr>
        <w:spacing w:after="120"/>
      </w:pP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spacing w:before="70"/>
    </w:pPr>
    <w:r>
      <w:rPr>
        <w:rFonts w:ascii="Arial" w:cs="Arial" w:eastAsia="Arial" w:hAnsi="Arial"/>
        <w:color w:val="475569"/>
        <w:sz w:val="16"/>
        <w:szCs w:val="16"/>
      </w:rPr>
      <w:t xml:space="preserve">Synthetix BRD</w:t>
    </w:r>
    <w:r>
      <w:rPr>
        <w:rFonts w:ascii="Arial" w:cs="Arial" w:eastAsia="Arial" w:hAnsi="Arial"/>
        <w:color w:val="475569"/>
        <w:sz w:val="16"/>
        <w:szCs w:val="16"/>
      </w:rPr>
      <w:t xml:space="preserve">  | 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spacing w:after="7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MagicBox Code Modernization — VB6 Modernization BRD - Business Requirements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2026-05-15T21:56:34.187Z</dcterms:created>
  <dcterms:modified xsi:type="dcterms:W3CDTF">2026-05-15T21:56:34.187Z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