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Parent-Chain Vaulting (P0)</w:t>
      </w:r>
    </w:p>
    <w:p>
      <w:pPr>
        <w:spacing w:after="80" w:before="80"/>
      </w:pPr>
      <w:r>
        <w:rPr>
          <w:sz w:val="22"/>
          <w:szCs w:val="22"/>
        </w:rPr>
        <w:t xml:space="preserve">Develop a module to support parent-chain vaulting for contractor data management.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allow linking of contractor records to parent entities.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Vaulting operations should be logged for audit purposes.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vaulting process should not degrade system performance.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Ensure Backward Compatibility (P1)</w:t>
      </w:r>
    </w:p>
    <w:p>
      <w:pPr>
        <w:spacing w:after="80" w:before="80"/>
      </w:pPr>
      <w:r>
        <w:rPr>
          <w:sz w:val="22"/>
          <w:szCs w:val="22"/>
        </w:rPr>
        <w:t xml:space="preserve">Maintain compatibility with existing contractor data structures.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Existing data should remain accessible post-implementation.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Legacy APIs should continue to function without modification.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should occur during the transition.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Data Integrity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data integrity throughout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checks should run before and after the translation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discrepancies should be reported and resolved automatically.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logs should be maintained for audit purposes.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Enhancement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should be verified through security audits.; Access controls should be implemented for sensitive operations.; Regular security assessments should be conducted.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the transition to new processes.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validation and backup strategies.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challenges with existing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compatibility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2026-05-12T22:31:19.703Z</dcterms:created>
  <dcterms:modified xsi:type="dcterms:W3CDTF">2026-05-12T22:31:19.703Z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