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Module M01 Modernization Workbook</w:t>
            </w:r>
          </w:p>
        </w:tc>
      </w:tr>
    </w:tbl>
    <w:p>
      <w:r>
        <w:rPr>
          <w:b/>
          <w:color w:val="1F6B75"/>
          <w:sz w:val="26"/>
        </w:rPr>
        <w:t>MagicBox Module M01 Modernization</w:t>
      </w:r>
    </w:p>
    <w:p>
      <w:r>
        <w:rPr>
          <w:b w:val="0"/>
          <w:color w:val="111827"/>
          <w:sz w:val="20"/>
        </w:rPr>
        <w:t>Transitioning the M01 module from PHP to a .NET-based architecture.</w:t>
      </w:r>
    </w:p>
    <w:p>
      <w:r>
        <w:rPr>
          <w:b w:val="0"/>
          <w:color w:val="6B7280"/>
          <w:sz w:val="18"/>
        </w:rPr>
        <w:t>Run 20260517_174458_b587ded4  ·  Generated 2026-05-17T17:45:20.927181+00:00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highlighting objectives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goal is to modernize the 'M01' module of the MagicBox platform, transitioning it from PHP to a .NET-based architecture.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+ remediation recommended.</w:t>
      </w:r>
    </w:p>
    <w:p>
      <w:r>
        <w:rPr>
          <w:b w:val="0"/>
          <w:color w:val="111827"/>
          <w:sz w:val="20"/>
        </w:rPr>
        <w:t>The MagicBox Module M01 Modernization project aims to transition the existing PHP-based architecture to a more robust .NET framework. This modernization effort is driven by the need for improved performance, scalability, and maintainability. The project follows a structured strategy of full upgrade and remediation, ensuring a controlled translation process. The readiness score of 45 indicates a moderate level of preparedness, and the risk tier is assessed as medium. The project will proceed through defined phases, capturing baseline outputs, managing dependencies, and finalizing quality gates.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M01 module from PHP to .NET.</w:t>
      </w:r>
    </w:p>
    <w:p>
      <w:pPr>
        <w:pStyle w:val="ListParagraph"/>
      </w:pPr>
      <w:r>
        <w:rPr>
          <w:b w:val="0"/>
          <w:color w:val="111827"/>
          <w:sz w:val="18"/>
        </w:rPr>
        <w:t>- Strategy: Full upgrade with remediation.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45, Risk tier: Medium.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 capture and dependency management.</w:t>
      </w:r>
    </w:p>
    <w:p>
      <w:pPr>
        <w:pStyle w:val="ListParagraph"/>
      </w:pPr>
      <w:r>
        <w:rPr>
          <w:b w:val="0"/>
          <w:color w:val="111827"/>
          <w:sz w:val="18"/>
        </w:rPr>
        <w:t>- Final phase focuses on quality gates and evidence publication.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Readiness: </w:t>
      </w:r>
      <w:r>
        <w:rPr>
          <w:b w:val="0"/>
          <w:color w:val="111827"/>
          <w:sz w:val="18"/>
        </w:rPr>
        <w:t>Current readiness score is 45,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 + remediation: </w:t>
      </w:r>
      <w:r>
        <w:rPr>
          <w:b w:val="0"/>
          <w:color w:val="111827"/>
          <w:sz w:val="20"/>
        </w:rPr>
        <w:t>High readiness for controlled translation with remediation.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AM Compliance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current dependencies and their impact on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examination of forms and modules involved in the transition.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AM Compliance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Documentation of golden flows and baseline outputs for equivalence harness.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migration process to maintain integrity.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aligned with project phases for effective execution.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 during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migration testing and validation.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Integration with third-party systems may fail post-migration.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integration testing with all third-party systems.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artifact://legacy_inventory/1.0/art_legacy_inventory_90800521319a41f5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artifact://repo_landscape/1.0/art_repo_landscape_2abdd8616abf4dc0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artifact://scope_lock/1.0/art_scope_lock_19a8310d94394e0b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artifact://variant_inventory/1.0/art_variant_inventory_693fa17d6fcd4525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artifact://event_map/1.0/art_event_map_84a999031580449c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artifact://sql_catalog/1.0/art_sql_catalog_02d4531ba1014883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artifact://sql_map/1.0/art_sql_map_e559a68ffcb7452f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artifact://data_access_map/1.0/art_data_access_map_1d3b16ff37424c3c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artifact://recordset_ops/1.0/art_recordset_ops_04f521a68b194f9f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artifact://procedure_summary/1.0/art_procedure_summary_e6b2309adec44bdf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artifact://form_dossier/1.0/art_form_dossier_cbfcf3ae74894845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artifact://dependency_inventory/1.0/art_dependency_inventory_44a2d75ca46a43a2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artifact://dependency_inventory/1.0/art_dependency_inventory_44a2d75ca46a43a2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artifact://business_rule_catalog/1.0/art_business_rule_catalog_3f088caf639443f3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artifact://detector_findings/1.0/art_detector_findings_3d360e7e5c4c48d7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artifact://risk_register/1.0/art_risk_register_f54a5f604639421b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artifact://orphan_analysis/1.0/art_orphan_analysis_00025cdc1de447d7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artifact://delivery_constitution/1.0/art_delivery_constitution_de4fa8e05ebe401e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artifact://variant_diff_report/1.0/art_variant_diff_report_9514955ec0a1486a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artifact://reporting_model/1.0/art_reporting_model_8ee68cd1ea9940d3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artifact://identity_access_model/1.0/art_identity_access_model_53238e1a669643cf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artifact://discover_review_checklist/1.0/art_discover_review_checklist_5461cf2889204f0e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artifact://artifact_index/1.0/art_artifact_index_59adc25580ff480f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runctx://runctx-cba9f027135bfb93/kctx-9902e42d32f8c0bb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runctx://runctx-cba9f027135bfb93/delivery_constitution/const-a440f80c74ec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