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Code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Code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Language Normalization Verification (P0)</w:t>
      </w:r>
    </w:p>
    <w:p>
      <w:pPr>
        <w:spacing w:after="80" w:before="80"/>
      </w:pPr>
      <w:r>
        <w:rPr>
          <w:sz w:val="22"/>
          <w:szCs w:val="22"/>
        </w:rPr>
        <w:t xml:space="preserve">Ensure that all code is normalized to the target language standards.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code must pass the normalization check without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Normalization logs are generated for each code module.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Any normalization errors are reported with actionable feedback.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Scaffold Generation in Stage 4 (P0)</w:t>
      </w:r>
    </w:p>
    <w:p>
      <w:pPr>
        <w:spacing w:after="80" w:before="80"/>
      </w:pPr>
      <w:r>
        <w:rPr>
          <w:sz w:val="22"/>
          <w:szCs w:val="22"/>
        </w:rPr>
        <w:t xml:space="preserve">Stage 4 of the modernization process should generate scaffolds for further development.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Scaffolds are generated for each module processed in Stage 4.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Generated scaffolds conform to predefined structural templates.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Logs confirm successful scaffold generation for each module.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Error Handling in Normalization (P1)</w:t>
      </w:r>
    </w:p>
    <w:p>
      <w:pPr>
        <w:spacing w:after="80" w:before="80"/>
      </w:pPr>
      <w:r>
        <w:rPr>
          <w:sz w:val="22"/>
          <w:szCs w:val="22"/>
        </w:rPr>
        <w:t xml:space="preserve">Implement explicit error handling during the normalization process.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Errors during normalization are logged with detailed context.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are notified of errors with suggested resolutions.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logs are accessible for audit purposes.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Observability in Scaffold Generation (P1)</w:t>
      </w:r>
    </w:p>
    <w:p>
      <w:pPr>
        <w:spacing w:after="80" w:before="80"/>
      </w:pPr>
      <w:r>
        <w:rPr>
          <w:sz w:val="22"/>
          <w:szCs w:val="22"/>
        </w:rPr>
        <w:t xml:space="preserve">Ensure observability in the scaffold generation process.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Real-time monitoring of scaffold generation is available.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Metrics on scaffold generation time and success rates are recorded.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triggered for any failures in scaffold generation.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Compliance with Internal Data Classification (P0)</w:t>
      </w:r>
    </w:p>
    <w:p>
      <w:pPr>
        <w:spacing w:after="80" w:before="80"/>
      </w:pPr>
      <w:r>
        <w:rPr>
          <w:sz w:val="22"/>
          <w:szCs w:val="22"/>
        </w:rPr>
        <w:t xml:space="preserve">Ensure the modernization process complies with internal data classification standards.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data handling complies with internal classification policies.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access during modernization is logged and audited.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Compliance checks are integrated into the modernization pipeline.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Global Jurisdiction Compliance (P0)</w:t>
      </w:r>
    </w:p>
    <w:p>
      <w:pPr>
        <w:spacing w:after="80" w:before="80"/>
      </w:pPr>
      <w:r>
        <w:rPr>
          <w:sz w:val="22"/>
          <w:szCs w:val="22"/>
        </w:rPr>
        <w:t xml:space="preserve">Ensure the modernization process adheres to global jurisdiction requirements.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processes are reviewed for compliance with global jurisdiction.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Legal reviews are documented and accessible.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Any jurisdictional issues are flagged and resolved promptly.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of Modernization Tools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surveys are conducted bi-annually.; Feedback from surveys is reviewed and actioned within one quarter.; Training materials are updated based on user feedback.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status must be updated sequentially from draft to active.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management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RecruitmentController.php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misalignment between legacy and target language structures.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mapping and validation of language constructs.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Scaffold generation may not cover all legacy components.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Iteratively enhance scaffold generation capabilities.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2026-05-12T18:48:07.613Z</dcterms:created>
  <dcterms:modified xsi:type="dcterms:W3CDTF">2026-05-12T18:48:07.613Z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