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SYN-WIRE-01 Port Activation Modernization Workbook</w:t>
            </w:r>
          </w:p>
        </w:tc>
      </w:tr>
    </w:tbl>
    <w:p>
      <w:r>
        <w:rPr>
          <w:b/>
          <w:color w:val="1F6B75"/>
          <w:sz w:val="26"/>
        </w:rPr>
        <w:t>SYN-WIRE-01 Port Activation Modernization</w:t>
      </w:r>
    </w:p>
    <w:p>
      <w:r>
        <w:rPr>
          <w:b w:val="0"/>
          <w:color w:val="111827"/>
          <w:sz w:val="20"/>
        </w:rPr>
        <w:t>A comprehensive guide to modernizing SYN-WIRE-01 ports using the Strangler Fig Pattern.</w:t>
      </w:r>
    </w:p>
    <w:p>
      <w:r>
        <w:rPr>
          <w:b w:val="0"/>
          <w:color w:val="6B7280"/>
          <w:sz w:val="18"/>
        </w:rPr>
        <w:t>Run 20260512_154714_369dc255  ·  Generated 2026-05-12T15:48:02.998830+00:00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An overview of the SYN-WIRE-01 modernization project, highlighting objectives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ensure that the merged seed fallback mechanism activates the SYN-WIRE-01 ports, which likely involves a code modernization effort.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SYN-WIRE-01 Port Activation Modernization project aims to activate ports through a merged seed fallback mechanism, necessitating code modernization. Utilizing the Strangler Fig Pattern, the strategy involves gradual replacement of legacy components. The project is in a high-risk tier with a readiness score of zero, indicating significant preparatory work is needed. The modernization effort will proceed through phases, starting with baseline capture, followed by incremental migration, and concluding with system hardening.</w:t>
      </w:r>
    </w:p>
    <w:p>
      <w:pPr>
        <w:pStyle w:val="ListParagraph"/>
      </w:pPr>
      <w:r>
        <w:rPr>
          <w:b w:val="0"/>
          <w:color w:val="111827"/>
          <w:sz w:val="18"/>
        </w:rPr>
        <w:t>- Objective: Activate SYN-WIRE-01 ports via code modernization.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Fig Pattern for gradual legacy replacement.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Score: 0, indicating substantial preparatory work.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requiring careful management.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 capture, migration, and hardening.</w:t>
      </w:r>
    </w:p>
    <w:p>
      <w:pPr>
        <w:pStyle w:val="ListParagraph"/>
      </w:pPr>
      <w:r>
        <w:rPr>
          <w:b w:val="0"/>
          <w:color w:val="111827"/>
          <w:sz w:val="18"/>
        </w:rPr>
        <w:t>- No current projects, forms, or dependencies in inventory.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Readiness: </w:t>
      </w:r>
      <w:r>
        <w:rPr>
          <w:b w:val="0"/>
          <w:color w:val="111827"/>
          <w:sz w:val="18"/>
        </w:rPr>
        <w:t>Current readiness score is 0, indicating a need for foundational work.</w:t>
      </w:r>
    </w:p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High-risk tier demands rigorous risk management strategies.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legacy components with new implementations.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(6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dependencies is crucial, though currently none are identified.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No forms are present in the inventory, requiring creation and documentation.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by a co-approver before activation.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establish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throughout the modernization phases for accountability.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Plan sprints to align with phases: baseline, migration, and hardening.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Identify and mitigate risks associated with high-risk tier and readiness challenges.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Fallback mechanism may not activate ports as expected.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Conduct thorough testing and monitoring.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Security vulnerabilities in fallback implementation.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 security audits and code reviews.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RISK-3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Performance degradation during fallback activation.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Optimize fallback code and conduct performance testing.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artifact://legacy_inventory/1.0/art_legacy_inventory_1fb44bf5358d426f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artifact://repo_landscape/1.0/art_repo_landscape_dca497880b5842fe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artifact://scope_lock/1.0/art_scope_lock_8927d96e369a4134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artifact://variant_inventory/1.0/art_variant_inventory_e06900c143ef47dc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artifact://event_map/1.0/art_event_map_84464d7cea084250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artifact://sql_catalog/1.0/art_sql_catalog_8dfb5c4f794c44c2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artifact://sql_map/1.0/art_sql_map_d119cc36a6f14e3d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artifact://data_access_map/1.0/art_data_access_map_ba8b269fe38748b8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artifact://recordset_ops/1.0/art_recordset_ops_1f048ed7159340bd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artifact://procedure_summary/1.0/art_procedure_summary_5239e08971a744c7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artifact://form_dossier/1.0/art_form_dossier_22cbfacf661c4ffe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artifact://dependency_inventory/1.0/art_dependency_inventory_6358899ce554458d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artifact://dependency_inventory/1.0/art_dependency_inventory_6358899ce554458d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artifact://business_rule_catalog/1.0/art_business_rule_catalog_72cc568afbbf4e2c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artifact://detector_findings/1.0/art_detector_findings_6cb8f209d59646d7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artifact://risk_register/1.0/art_risk_register_10721455c44b45d2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artifact://orphan_analysis/1.0/art_orphan_analysis_bf7938a1a13e46f6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artifact://delivery_constitution/1.0/art_delivery_constitution_6b428e304c0a4510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artifact://variant_diff_report/1.0/art_variant_diff_report_05025f5074e4460e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artifact://reporting_model/1.0/art_reporting_model_82e3c7e9a74f4fdf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artifact://identity_access_model/1.0/art_identity_access_model_275c43b75ad64ae3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artifact://discover_review_checklist/1.0/art_discover_review_checklist_07a625c2610949bf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artifact://artifact_index/1.0/art_artifact_index_bc1a30cc4e1e415f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runctx://runctx-603a2c343d2e1cf5/kctx-6c852fcceab50a55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runctx://runctx-603a2c343d2e1cf5/delivery_constitution/const-d62dffbc4be6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