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Guiding the modernization of the MagicBox codebase with a focus on real controller integration.</w:t>
      </w:r>
    </w:p>
    <w:p>
      <w:r>
        <w:rPr>
          <w:b w:val="0"/>
          <w:color w:val="6B7280"/>
          <w:sz w:val="18"/>
        </w:rPr>
        <w:t>Run 20260512_153750_0723aa49  ·  Generated 2026-05-12T15:38:40.836982+00:00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strategy and its objectives, focusing on risk management and phased implementation.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objective is to modernize the MagicBox codebase by grounding the development process in the existing real MagicBox controllers, specifically addressing the seed_ra fix.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Phased UI Migration recommended.</w:t>
      </w:r>
    </w:p>
    <w:p>
      <w:r>
        <w:rPr>
          <w:b w:val="0"/>
          <w:color w:val="111827"/>
          <w:sz w:val="20"/>
        </w:rPr>
        <w:t>The MagicBox Modernization project aims to update the existing codebase by leveraging real MagicBox controllers, specifically addressing the seed_ra fix. This workbook outlines the phased UI migration strategy, ensuring a gradual transition to new technologies while maintaining current functionalities. The project is high-risk with a readiness score of zero, necessitating careful planning and execution.</w:t>
      </w:r>
    </w:p>
    <w:p>
      <w:pPr>
        <w:pStyle w:val="ListParagraph"/>
      </w:pPr>
      <w:r>
        <w:rPr>
          <w:b w:val="0"/>
          <w:color w:val="111827"/>
          <w:sz w:val="18"/>
        </w:rPr>
        <w:t>- Objective: Modernize MagicBox codebase using real controllers.</w:t>
      </w:r>
    </w:p>
    <w:p>
      <w:pPr>
        <w:pStyle w:val="ListParagraph"/>
      </w:pPr>
      <w:r>
        <w:rPr>
          <w:b w:val="0"/>
          <w:color w:val="111827"/>
          <w:sz w:val="18"/>
        </w:rPr>
        <w:t>- Focus: Address seed_ra fix with phased UI migration.</w:t>
      </w:r>
    </w:p>
    <w:p>
      <w:pPr>
        <w:pStyle w:val="ListParagraph"/>
      </w:pPr>
      <w:r>
        <w:rPr>
          <w:b w:val="0"/>
          <w:color w:val="111827"/>
          <w:sz w:val="18"/>
        </w:rPr>
        <w:t>- Risk: High-risk tier with readiness score of zero.</w:t>
      </w:r>
    </w:p>
    <w:p>
      <w:pPr>
        <w:pStyle w:val="ListParagraph"/>
      </w:pPr>
      <w:r>
        <w:rPr>
          <w:b w:val="0"/>
          <w:color w:val="111827"/>
          <w:sz w:val="18"/>
        </w:rPr>
        <w:t>- Strategy: Gradual transition preserving functionality.</w:t>
      </w:r>
    </w:p>
    <w:p>
      <w:pPr>
        <w:pStyle w:val="ListParagraph"/>
      </w:pPr>
      <w:r>
        <w:rPr>
          <w:b w:val="0"/>
          <w:color w:val="111827"/>
          <w:sz w:val="18"/>
        </w:rPr>
        <w:t>- Outcome: Capture golden flows and baseline outputs.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Baseline, migration, hardening, and release.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Risk: </w:t>
      </w:r>
      <w:r>
        <w:rPr>
          <w:b w:val="0"/>
          <w:color w:val="111827"/>
          <w:sz w:val="18"/>
        </w:rPr>
        <w:t>High-risk tier requires careful management.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Phased UI Migration: </w:t>
      </w:r>
      <w:r>
        <w:rPr>
          <w:b w:val="0"/>
          <w:color w:val="111827"/>
          <w:sz w:val="20"/>
        </w:rPr>
        <w:t>Allows gradual transition to new technologies while preserving existing functionality.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Contractor Placement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current dependencies to identify risk areas and plan for their replacement during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analysis of forms/modules to be migrated, with a focus on dependency risk controls.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 submissions must be approved by a co-approver before onboarding.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analyze golden flows to ensure baseline outputs are maintained throughout the transition.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Ensure traceability of changes to maintain alignment with project objectives and quality standards.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cycles designed to incrementally achieve migration goals and manage risks.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Comprehensive risk assessment and mitigation strategies to address high-risk tier challenges.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data loss during migration.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comprehensive data migration tests and backups.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Performance degradation post-migration.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Conduct performance testing and optimization.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RISK-3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Security vulnerabilities in the new architecture.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Perform regular security audits and apply patches.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artifact://legacy_inventory/1.0/art_legacy_inventory_d9e0f7e4b78b44af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artifact://repo_landscape/1.0/art_repo_landscape_67211c5731d342d1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artifact://scope_lock/1.0/art_scope_lock_9de260a146104405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artifact://variant_inventory/1.0/art_variant_inventory_11185ac37f5247b0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artifact://event_map/1.0/art_event_map_f099d2ca0abc4f19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artifact://sql_catalog/1.0/art_sql_catalog_719d220d6b2b4398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artifact://sql_map/1.0/art_sql_map_404e7e0282a44573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artifact://data_access_map/1.0/art_data_access_map_be13527ee8b44a15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artifact://recordset_ops/1.0/art_recordset_ops_f58b5eede5734702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artifact://procedure_summary/1.0/art_procedure_summary_6479f4754cf04cc0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artifact://form_dossier/1.0/art_form_dossier_e91031da25534b1e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artifact://dependency_inventory/1.0/art_dependency_inventory_dd72539f376147ec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artifact://dependency_inventory/1.0/art_dependency_inventory_dd72539f376147ec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artifact://business_rule_catalog/1.0/art_business_rule_catalog_f99a10b8c2a94848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artifact://detector_findings/1.0/art_detector_findings_16052d9dad8049f9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artifact://risk_register/1.0/art_risk_register_dcd948186eb84193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artifact://orphan_analysis/1.0/art_orphan_analysis_32625e899f0f4a74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artifact://delivery_constitution/1.0/art_delivery_constitution_093a69d2565d4c56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artifact://variant_diff_report/1.0/art_variant_diff_report_0605440ccfca4222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artifact://reporting_model/1.0/art_reporting_model_c5bd331c21b44a32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artifact://identity_access_model/1.0/art_identity_access_model_755c825ff5b24781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artifact://discover_review_checklist/1.0/art_discover_review_checklist_8b6e2f5fc3464018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artifact://artifact_index/1.0/art_artifact_index_0abf2346dad74c96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runctx://runctx-a10dff8dcc5d170f/kctx-6c852fcceab50a55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runctx://runctx-a10dff8dcc5d170f/delivery_constitution/const-e895e1907ec2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