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Bdr>
          <w:bottom w:val="single" w:color="1B7A8C" w:sz="8" w:space="4"/>
        </w:pBdr>
        <w:spacing w:after="100" w:before="24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Module Cards</w:t>
      </w:r>
    </w:p>
    <w:sectPr>
      <w:headerReference w:type="default" r:id="rId7"/>
      <w:footerReference w:type="default" r:id="rId8"/>
      <w:pgSz w:w="12240" w:h="15840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B7A8C" w:sz="4" w:space="4"/>
      </w:pBdr>
      <w:spacing w:before="60"/>
    </w:pPr>
    <w:r>
      <w:rPr>
        <w:rFonts w:ascii="Arial" w:cs="Arial" w:eastAsia="Arial" w:hAnsi="Arial"/>
        <w:color w:val="475569"/>
        <w:sz w:val="16"/>
        <w:szCs w:val="16"/>
      </w:rPr>
      <w:t xml:space="preserve">Synthetix Module Cards</w:t>
    </w:r>
    <w:r>
      <w:rPr>
        <w:rFonts w:ascii="Arial" w:cs="Arial" w:eastAsia="Arial" w:hAnsi="Arial"/>
        <w:color w:val="475569"/>
        <w:sz w:val="16"/>
        <w:szCs w:val="16"/>
      </w:rPr>
      <w:t xml:space="preserve">  |  Page </w:t>
    </w:r>
    <w:r>
      <w:rPr>
        <w:rFonts w:ascii="Arial" w:cs="Arial" w:eastAsia="Arial" w:hAnsi="Arial"/>
        <w:color w:val="475569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475569"/>
        <w:sz w:val="16"/>
        <w:szCs w:val="16"/>
      </w:rPr>
      <w:t xml:space="preserve"> of </w:t>
    </w:r>
    <w:r>
      <w:rPr>
        <w:rFonts w:ascii="Arial" w:cs="Arial" w:eastAsia="Arial" w:hAnsi="Arial"/>
        <w:color w:val="475569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B7A8C" w:sz="6" w:space="4"/>
      </w:pBdr>
      <w:spacing w:after="60"/>
    </w:pPr>
    <w:r>
      <w:rPr>
        <w:rFonts w:ascii="Arial" w:cs="Arial" w:eastAsia="Arial" w:hAnsi="Arial"/>
        <w:b/>
        <w:bCs/>
        <w:color w:val="1F3864"/>
        <w:sz w:val="18"/>
        <w:szCs w:val="18"/>
      </w:rPr>
      <w:t xml:space="preserve">Synthetix Module Cards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2026-05-13T13:46:28.567Z</dcterms:created>
  <dcterms:modified xsi:type="dcterms:W3CDTF">2026-05-13T13:46:28.567Z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