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MagicBox Code Modernization Workbook</w:t>
            </w:r>
          </w:p>
        </w:tc>
      </w:tr>
    </w:tbl>
    <w:p>
      <w:r>
        <w:rPr>
          <w:b/>
          <w:color w:val="1F6B75"/>
          <w:sz w:val="26"/>
        </w:rPr>
        <w:t>MagicBox Code Modernization</w:t>
      </w:r>
    </w:p>
    <w:p>
      <w:r>
        <w:rPr>
          <w:b w:val="0"/>
          <w:color w:val="111827"/>
          <w:sz w:val="20"/>
        </w:rPr>
        <w:t>A comprehensive guide to modernizing the MagicBox backend using the Strangler Fig Pattern.</w:t>
      </w:r>
    </w:p>
    <w:p>
      <w:r>
        <w:rPr>
          <w:b w:val="0"/>
          <w:color w:val="6B7280"/>
          <w:sz w:val="18"/>
        </w:rPr>
        <w:t>Run 20260516_063558_74977d04  ·  Generated 2026-05-16T10:36:22.075741+00:00  ·  Repo Synthetix</w:t>
      </w:r>
    </w:p>
    <w:p/>
    <w:p>
      <w:pPr>
        <w:pStyle w:val="Heading1"/>
      </w:pPr>
      <w:r>
        <w:t>Executive Snapshot</w:t>
      </w:r>
    </w:p>
    <w:p>
      <w:r>
        <w:rPr>
          <w:b w:val="0"/>
          <w:color w:val="6B7280"/>
          <w:sz w:val="18"/>
        </w:rPr>
        <w:t>Overview of the modernization strategy and key project metrics.</w:t>
      </w:r>
    </w:p>
    <w:p>
      <w:r>
        <w:rPr>
          <w:b/>
          <w:color w:val="2E75B6"/>
          <w:sz w:val="20"/>
        </w:rPr>
        <w:t xml:space="preserve">Objective: </w:t>
      </w:r>
      <w:r>
        <w:rPr>
          <w:b w:val="0"/>
          <w:color w:val="111827"/>
          <w:sz w:val="20"/>
        </w:rPr>
        <w:t>The objective is to modernize the codebase by focusing on backend development only, involving a scoped team of Architect, Developer, and Tester. This excludes UI scaffolding, database engineering, security engineering, validation, and deployment tasks.</w:t>
      </w:r>
    </w:p>
    <w:p>
      <w:r>
        <w:rPr>
          <w:b/>
          <w:color w:val="2E75B6"/>
          <w:sz w:val="20"/>
        </w:rPr>
        <w:t xml:space="preserve">Summary: </w:t>
      </w:r>
      <w:r>
        <w:rPr>
          <w:b w:val="0"/>
          <w:color w:val="111827"/>
          <w:sz w:val="20"/>
        </w:rPr>
        <w:t>Strangler Fig Pattern recommended.</w:t>
      </w:r>
    </w:p>
    <w:p>
      <w:r>
        <w:rPr>
          <w:b w:val="0"/>
          <w:color w:val="111827"/>
          <w:sz w:val="20"/>
        </w:rPr>
        <w:t>The MagicBox Code Modernization project aims to update the backend codebase by employing the Strangler Fig Pattern. This approach allows for the gradual replacement of legacy components with modern equivalents, ensuring minimal disruption. The project involves a focused team comprising an Architect, Developer, and Tester, and excludes UI, database, and security engineering. With a readiness score of 70 and a low risk tier, the project is well-positioned for success.</w:t>
      </w:r>
    </w:p>
    <w:p>
      <w:pPr>
        <w:pStyle w:val="ListParagraph"/>
      </w:pPr>
      <w:r>
        <w:rPr>
          <w:b w:val="0"/>
          <w:color w:val="111827"/>
          <w:sz w:val="18"/>
        </w:rPr>
        <w:t>- Focus on backend modernization using the Strangler Fig Pattern.</w:t>
      </w:r>
    </w:p>
    <w:p>
      <w:pPr>
        <w:pStyle w:val="ListParagraph"/>
      </w:pPr>
      <w:r>
        <w:rPr>
          <w:b w:val="0"/>
          <w:color w:val="111827"/>
          <w:sz w:val="18"/>
        </w:rPr>
        <w:t>- Team includes Architect, Developer, and Tester.</w:t>
      </w:r>
    </w:p>
    <w:p>
      <w:pPr>
        <w:pStyle w:val="ListParagraph"/>
      </w:pPr>
      <w:r>
        <w:rPr>
          <w:b w:val="0"/>
          <w:color w:val="111827"/>
          <w:sz w:val="18"/>
        </w:rPr>
        <w:t>- Excludes UI, database, and security engineering.</w:t>
      </w:r>
    </w:p>
    <w:p>
      <w:pPr>
        <w:pStyle w:val="ListParagraph"/>
      </w:pPr>
      <w:r>
        <w:rPr>
          <w:b w:val="0"/>
          <w:color w:val="111827"/>
          <w:sz w:val="18"/>
        </w:rPr>
        <w:t>- Readiness score of 70 with low risk tier.</w:t>
      </w:r>
    </w:p>
    <w:p>
      <w:pPr>
        <w:pStyle w:val="ListParagraph"/>
      </w:pPr>
      <w:r>
        <w:rPr>
          <w:b w:val="0"/>
          <w:color w:val="111827"/>
          <w:sz w:val="18"/>
        </w:rPr>
        <w:t>- Incremental replacement of legacy components.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70/100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low</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r>
        <w:rPr>
          <w:b/>
          <w:color w:val="2E75B6"/>
          <w:sz w:val="18"/>
        </w:rPr>
        <w:t xml:space="preserve">Readiness: </w:t>
      </w:r>
      <w:r>
        <w:rPr>
          <w:b w:val="0"/>
          <w:color w:val="111827"/>
          <w:sz w:val="18"/>
        </w:rPr>
        <w:t>The project has a readiness score of 70.</w:t>
      </w:r>
    </w:p>
    <w:p>
      <w:pPr>
        <w:pStyle w:val="Heading2"/>
      </w:pPr>
      <w:r>
        <w:t>Recommended Modernization Strategy</w:t>
      </w:r>
    </w:p>
    <w:p>
      <w:r>
        <w:rPr>
          <w:b/>
          <w:color w:val="1F6B75"/>
          <w:sz w:val="20"/>
        </w:rPr>
        <w:t xml:space="preserve">Strangler Fig Pattern: </w:t>
      </w:r>
      <w:r>
        <w:rPr>
          <w:b w:val="0"/>
          <w:color w:val="111827"/>
          <w:sz w:val="20"/>
        </w:rPr>
        <w:t>Allows incremental replacement of legacy components with modern equivalents.</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DEC-BDD-001</w:t>
            </w:r>
          </w:p>
        </w:tc>
        <w:tc>
          <w:tcPr>
            <w:tcW w:type="dxa" w:w="3360"/>
            <w:shd w:val="clear" w:color="auto" w:fill="F3F4F6"/>
          </w:tcPr>
          <w:p>
            <w:r/>
            <w:r>
              <w:rPr>
                <w:b w:val="0"/>
                <w:color w:val="111827"/>
                <w:sz w:val="18"/>
              </w:rPr>
              <w:t>Ground BDD acceptance criteria in real legacy golden flows before Build planning.</w:t>
            </w:r>
          </w:p>
        </w:tc>
        <w:tc>
          <w:tcPr>
            <w:tcW w:type="dxa" w:w="3360"/>
            <w:shd w:val="clear" w:color="auto" w:fill="F3F4F6"/>
          </w:tcPr>
          <w:p>
            <w:r/>
            <w:r>
              <w:rPr>
                <w:b w:val="0"/>
                <w:color w:val="111827"/>
                <w:sz w:val="18"/>
              </w:rPr>
              <w:t>Regenerate BDD from validated golden flows, route evidence, and SQL touchpoints before Build starts.</w:t>
            </w:r>
          </w:p>
        </w:tc>
      </w:tr>
      <w:tr>
        <w:tc>
          <w:tcPr>
            <w:tcW w:type="dxa" w:w="3360"/>
          </w:tcPr>
          <w:p>
            <w:r/>
            <w:r>
              <w:rPr>
                <w:b w:val="0"/>
                <w:color w:val="111827"/>
                <w:sz w:val="18"/>
              </w:rPr>
              <w:t>DEC-OBS-001</w:t>
            </w:r>
          </w:p>
        </w:tc>
        <w:tc>
          <w:tcPr>
            <w:tcW w:type="dxa" w:w="3360"/>
          </w:tcPr>
          <w:p>
            <w:r/>
            <w:r>
              <w:rPr>
                <w:b w:val="0"/>
                <w:color w:val="111827"/>
                <w:sz w:val="18"/>
              </w:rPr>
              <w:t>Logging and observability stack for migrated runtime</w:t>
            </w:r>
          </w:p>
        </w:tc>
        <w:tc>
          <w:tcPr>
            <w:tcW w:type="dxa" w:w="3360"/>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Backlog grounded in discovered behavior (5 derived item(s), threshold 3).</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pass=11, warn=5,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11</w:t>
            </w:r>
          </w:p>
        </w:tc>
        <w:tc>
          <w:tcPr>
            <w:tcW w:type="dxa" w:w="1680"/>
          </w:tcPr>
          <w:p>
            <w:r/>
            <w:r>
              <w:rPr>
                <w:b w:val="0"/>
                <w:color w:val="111827"/>
                <w:sz w:val="18"/>
              </w:rPr>
              <w:t>5</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pass=11, warn=5,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1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Unresolved form references detected: Staffing &amp; Recruitment</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source_loc_total is missing; LOC reconciliation skipped.</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Details on dependencies and their management during the migration.</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Documentation of forms and modules targeted for modernization.</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6"/>
              </w:rPr>
              <w:t>BR-001</w:t>
            </w:r>
          </w:p>
        </w:tc>
        <w:tc>
          <w:tcPr>
            <w:tcW w:type="dxa" w:w="1680"/>
          </w:tcPr>
          <w:p>
            <w:r/>
            <w:r>
              <w:rPr>
                <w:b w:val="0"/>
                <w:color w:val="111827"/>
                <w:sz w:val="16"/>
              </w:rPr>
              <w:t>Staffing &amp; Recruitment</w:t>
            </w:r>
          </w:p>
        </w:tc>
        <w:tc>
          <w:tcPr>
            <w:tcW w:type="dxa" w:w="1680"/>
          </w:tcPr>
          <w:p>
            <w:r/>
            <w:r>
              <w:rPr>
                <w:b w:val="0"/>
                <w:color w:val="111827"/>
                <w:sz w:val="16"/>
              </w:rPr>
              <w:t>Presentation</w:t>
            </w:r>
          </w:p>
        </w:tc>
        <w:tc>
          <w:tcPr>
            <w:tcW w:type="dxa" w:w="1680"/>
          </w:tcPr>
          <w:p>
            <w:r/>
            <w:r>
              <w:rPr>
                <w:b w:val="0"/>
                <w:color w:val="111827"/>
                <w:sz w:val="16"/>
              </w:rPr>
              <w:t>workflow_orchestration</w:t>
            </w:r>
          </w:p>
        </w:tc>
        <w:tc>
          <w:tcPr>
            <w:tcW w:type="dxa" w:w="1680"/>
          </w:tcPr>
          <w:p>
            <w:r/>
            <w:r>
              <w:rPr>
                <w:b w:val="0"/>
                <w:color w:val="111827"/>
                <w:sz w:val="16"/>
              </w:rPr>
              <w:t>Contractor placements must be approved by a co-approver before onboarding.</w:t>
            </w:r>
          </w:p>
        </w:tc>
        <w:tc>
          <w:tcPr>
            <w:tcW w:type="dxa" w:w="1680"/>
          </w:tcPr>
          <w:p>
            <w:r/>
            <w:r>
              <w:rPr>
                <w:b w:val="0"/>
                <w:color w:val="111827"/>
                <w:sz w:val="16"/>
              </w:rPr>
              <w:t>none</w:t>
            </w:r>
          </w:p>
        </w:tc>
      </w:tr>
    </w:tbl>
    <w:p>
      <w:r>
        <w:br w:type="page"/>
      </w:r>
    </w:p>
    <w:p>
      <w:pPr>
        <w:pStyle w:val="Heading1"/>
      </w:pPr>
      <w:r>
        <w:t>Section P - Form Flow Traces</w:t>
      </w:r>
    </w:p>
    <w:p>
      <w:r>
        <w:rPr>
          <w:b w:val="0"/>
          <w:color w:val="6B7280"/>
          <w:sz w:val="18"/>
        </w:rPr>
        <w:t>Capture and analysis of existing process flows and outputs.</w:t>
      </w:r>
    </w:p>
    <w:p>
      <w:r>
        <w:br w:type="page"/>
      </w:r>
    </w:p>
    <w:p>
      <w:pPr>
        <w:pStyle w:val="Heading1"/>
      </w:pPr>
      <w:r>
        <w:t>Section Q - Form Traceability Matrix</w:t>
      </w:r>
    </w:p>
    <w:p>
      <w:r>
        <w:rPr>
          <w:b w:val="0"/>
          <w:color w:val="6B7280"/>
          <w:sz w:val="18"/>
        </w:rPr>
        <w:t>Ensuring traceability of changes and their impacts.</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Outline of sprint cycles and their objectives.</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Assessment of potential risks and mitigation strategies.</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RISK-1</w:t>
            </w:r>
          </w:p>
        </w:tc>
        <w:tc>
          <w:tcPr>
            <w:tcW w:type="dxa" w:w="2520"/>
            <w:shd w:val="clear" w:color="auto" w:fill="FEE2E2"/>
          </w:tcPr>
          <w:p>
            <w:r/>
            <w:r>
              <w:rPr>
                <w:b w:val="0"/>
                <w:color w:val="111827"/>
                <w:sz w:val="16"/>
              </w:rPr>
              <w:t>HIGH</w:t>
            </w:r>
          </w:p>
        </w:tc>
        <w:tc>
          <w:tcPr>
            <w:tcW w:type="dxa" w:w="2520"/>
          </w:tcPr>
          <w:p>
            <w:r/>
            <w:r>
              <w:rPr>
                <w:b w:val="0"/>
                <w:color w:val="111827"/>
                <w:sz w:val="16"/>
              </w:rPr>
              <w:t>Potential data contract mismatches during migration.</w:t>
            </w:r>
          </w:p>
        </w:tc>
        <w:tc>
          <w:tcPr>
            <w:tcW w:type="dxa" w:w="2520"/>
          </w:tcPr>
          <w:p>
            <w:r/>
            <w:r>
              <w:rPr>
                <w:b w:val="0"/>
                <w:color w:val="111827"/>
                <w:sz w:val="16"/>
              </w:rPr>
              <w:t>Conduct thorough data contract testing and validation.</w:t>
            </w:r>
          </w:p>
        </w:tc>
      </w:tr>
      <w:tr>
        <w:tc>
          <w:tcPr>
            <w:tcW w:type="dxa" w:w="2520"/>
            <w:shd w:val="clear" w:color="auto" w:fill="F3F4F6"/>
          </w:tcPr>
          <w:p>
            <w:r/>
            <w:r>
              <w:rPr>
                <w:b w:val="0"/>
                <w:color w:val="111827"/>
                <w:sz w:val="16"/>
              </w:rPr>
              <w:t>RISK-2</w:t>
            </w:r>
          </w:p>
        </w:tc>
        <w:tc>
          <w:tcPr>
            <w:tcW w:type="dxa" w:w="2520"/>
            <w:shd w:val="clear" w:color="auto" w:fill="F3F4F6"/>
            <w:shd w:val="clear" w:color="auto" w:fill="FEF3C7"/>
          </w:tcPr>
          <w:p>
            <w:r/>
            <w:r>
              <w:rPr>
                <w:b w:val="0"/>
                <w:color w:val="111827"/>
                <w:sz w:val="16"/>
              </w:rPr>
              <w:t>MEDIUM</w:t>
            </w:r>
          </w:p>
        </w:tc>
        <w:tc>
          <w:tcPr>
            <w:tcW w:type="dxa" w:w="2520"/>
            <w:shd w:val="clear" w:color="auto" w:fill="F3F4F6"/>
          </w:tcPr>
          <w:p>
            <w:r/>
            <w:r>
              <w:rPr>
                <w:b w:val="0"/>
                <w:color w:val="111827"/>
                <w:sz w:val="16"/>
              </w:rPr>
              <w:t>Security vulnerabilities may be introduced during modernization.</w:t>
            </w:r>
          </w:p>
        </w:tc>
        <w:tc>
          <w:tcPr>
            <w:tcW w:type="dxa" w:w="2520"/>
            <w:shd w:val="clear" w:color="auto" w:fill="F3F4F6"/>
          </w:tcPr>
          <w:p>
            <w:r/>
            <w:r>
              <w:rPr>
                <w:b w:val="0"/>
                <w:color w:val="111827"/>
                <w:sz w:val="16"/>
              </w:rPr>
              <w:t>Implement continuous security testing and monitoring.</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artifact://legacy_inventory/1.0/art_legacy_inventory_018fa7d933fd4281</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artifact://repo_landscape/1.0/art_repo_landscape_9693cfc4a4774cf8</w:t>
            </w:r>
          </w:p>
        </w:tc>
      </w:tr>
      <w:tr>
        <w:tc>
          <w:tcPr>
            <w:tcW w:type="dxa" w:w="5040"/>
          </w:tcPr>
          <w:p>
            <w:r/>
            <w:r>
              <w:rPr>
                <w:b w:val="0"/>
                <w:color w:val="111827"/>
                <w:sz w:val="16"/>
              </w:rPr>
              <w:t>scope_lock_ref</w:t>
            </w:r>
          </w:p>
        </w:tc>
        <w:tc>
          <w:tcPr>
            <w:tcW w:type="dxa" w:w="5040"/>
          </w:tcPr>
          <w:p>
            <w:r/>
            <w:r>
              <w:rPr>
                <w:b w:val="0"/>
                <w:color w:val="111827"/>
                <w:sz w:val="16"/>
              </w:rPr>
              <w:t>artifact://scope_lock/1.0/art_scope_lock_2d1b97d899814042</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artifact://variant_inventory/1.0/art_variant_inventory_740c4938066e4305</w:t>
            </w:r>
          </w:p>
        </w:tc>
      </w:tr>
      <w:tr>
        <w:tc>
          <w:tcPr>
            <w:tcW w:type="dxa" w:w="5040"/>
          </w:tcPr>
          <w:p>
            <w:r/>
            <w:r>
              <w:rPr>
                <w:b w:val="0"/>
                <w:color w:val="111827"/>
                <w:sz w:val="16"/>
              </w:rPr>
              <w:t>event_map_ref</w:t>
            </w:r>
          </w:p>
        </w:tc>
        <w:tc>
          <w:tcPr>
            <w:tcW w:type="dxa" w:w="5040"/>
          </w:tcPr>
          <w:p>
            <w:r/>
            <w:r>
              <w:rPr>
                <w:b w:val="0"/>
                <w:color w:val="111827"/>
                <w:sz w:val="16"/>
              </w:rPr>
              <w:t>artifact://event_map/1.0/art_event_map_c7286184c21747d2</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artifact://sql_catalog/1.0/art_sql_catalog_63ec736815c24959</w:t>
            </w:r>
          </w:p>
        </w:tc>
      </w:tr>
      <w:tr>
        <w:tc>
          <w:tcPr>
            <w:tcW w:type="dxa" w:w="5040"/>
          </w:tcPr>
          <w:p>
            <w:r/>
            <w:r>
              <w:rPr>
                <w:b w:val="0"/>
                <w:color w:val="111827"/>
                <w:sz w:val="16"/>
              </w:rPr>
              <w:t>sql_map_ref</w:t>
            </w:r>
          </w:p>
        </w:tc>
        <w:tc>
          <w:tcPr>
            <w:tcW w:type="dxa" w:w="5040"/>
          </w:tcPr>
          <w:p>
            <w:r/>
            <w:r>
              <w:rPr>
                <w:b w:val="0"/>
                <w:color w:val="111827"/>
                <w:sz w:val="16"/>
              </w:rPr>
              <w:t>artifact://sql_map/1.0/art_sql_map_a17d82801b8149ea</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artifact://data_access_map/1.0/art_data_access_map_ab88bf1a737e40a7</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artifact://recordset_ops/1.0/art_recordset_ops_71ae86b6c14e4c43</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artifact://procedure_summary/1.0/art_procedure_summary_4c44ea1b1c2f406b</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artifact://form_dossier/1.0/art_form_dossier_0a479f4109554190</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artifact://dependency_inventory/1.0/art_dependency_inventory_8d401d8787db4622</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artifact://dependency_inventory/1.0/art_dependency_inventory_8d401d8787db4622</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artifact://business_rule_catalog/1.0/art_business_rule_catalog_76edf5aeb23e4a68</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artifact://detector_findings/1.0/art_detector_findings_e4df08e668b04fd8</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artifact://risk_register/1.0/art_risk_register_bc069782a1194967</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artifact://orphan_analysis/1.0/art_orphan_analysis_789afb6571484f25</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artifact://delivery_constitution/1.0/art_delivery_constitution_7683dc27ad9145cc</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artifact://variant_diff_report/1.0/art_variant_diff_report_159300c7a96d4928</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artifact://reporting_model/1.0/art_reporting_model_65eb0864960347cb</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artifact://identity_access_model/1.0/art_identity_access_model_97f93af103cb4d46</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artifact://discover_review_checklist/1.0/art_discover_review_checklist_9b4e0ee775384dbc</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artifact://artifact_index/1.0/art_artifact_index_9447f1d4460c42b9</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runctx://runctx-04b2422a26050732/kctx-a48cbc6197550448</w:t>
            </w:r>
          </w:p>
        </w:tc>
      </w:tr>
      <w:tr>
        <w:tc>
          <w:tcPr>
            <w:tcW w:type="dxa" w:w="5040"/>
          </w:tcPr>
          <w:p>
            <w:r/>
            <w:r>
              <w:rPr>
                <w:b w:val="0"/>
                <w:color w:val="111827"/>
                <w:sz w:val="16"/>
              </w:rPr>
              <w:t>run_delivery_constitution_ref</w:t>
            </w:r>
          </w:p>
        </w:tc>
        <w:tc>
          <w:tcPr>
            <w:tcW w:type="dxa" w:w="5040"/>
          </w:tcPr>
          <w:p>
            <w:r/>
            <w:r>
              <w:rPr>
                <w:b w:val="0"/>
                <w:color w:val="111827"/>
                <w:sz w:val="16"/>
              </w:rPr>
              <w:t>runctx://runctx-04b2422a26050732/delivery_constitution/const-48aab15c6897</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