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F3864"/>
          <w:sz w:val="60"/>
          <w:szCs w:val="60"/>
        </w:rPr>
        <w:t xml:space="preserve">Modernization Brief - Banking Application Modernization</w:t>
      </w:r>
    </w:p>
    <w:p>
      <w:pPr>
        <w:spacing w:after="120" w:before="0"/>
        <w:jc w:val="center"/>
      </w:pPr>
      <w:r>
        <w:rPr>
          <w:rFonts w:ascii="Arial" w:cs="Arial" w:eastAsia="Arial" w:hAnsi="Arial"/>
          <w:color w:val="1B7A8C"/>
          <w:sz w:val="40"/>
          <w:szCs w:val="40"/>
        </w:rPr>
        <w:t xml:space="preserve">Business Analyst Brief</w:t>
      </w:r>
    </w:p>
    <w:p>
      <w:pPr>
        <w:pBdr>
          <w:bottom w:val="single" w:color="1B7A8C" w:sz="10" w:space="4"/>
        </w:pBdr>
        <w:spacing w:after="400" w:before="0"/>
      </w:pPr>
      <w:r>
        <w:t xml:space="preserve"/>
      </w:r>
    </w:p>
    <w:p>
      <w:pPr>
        <w:spacing w:after="120" w:before="0"/>
        <w:jc w:val="center"/>
      </w:pPr>
      <w:r>
        <w:rPr>
          <w:rFonts w:ascii="Arial" w:cs="Arial" w:eastAsia="Arial" w:hAnsi="Arial"/>
          <w:i/>
          <w:iCs/>
          <w:color w:val="4B5563"/>
          <w:sz w:val="22"/>
          <w:szCs w:val="22"/>
        </w:rPr>
        <w:t xml:space="preserve">Synthetix AI Analysis Platform</w:t>
      </w:r>
    </w:p>
    <w:p>
      <w:pPr>
        <w:spacing w:after="80" w:before="0"/>
        <w:jc w:val="center"/>
      </w:pPr>
      <w:r>
        <w:rPr>
          <w:rFonts w:ascii="Arial" w:cs="Arial" w:eastAsia="Arial" w:hAnsi="Arial"/>
          <w:color w:val="4B5563"/>
          <w:sz w:val="20"/>
          <w:szCs w:val="20"/>
        </w:rPr>
        <w:t xml:space="preserve">Generated: 2026-03-05T01:33:01.674003+00:00   ·   Repo: https://github.com/vishakjai/TestVBProject1 @ detached (unknown)</w:t>
      </w:r>
    </w:p>
    <w:p>
      <w:pPr>
        <w:spacing w:after="0" w:before="160"/>
        <w:jc w:val="center"/>
      </w:pPr>
      <w:r>
        <w:rPr>
          <w:rFonts w:ascii="Arial" w:cs="Arial" w:eastAsia="Arial" w:hAnsi="Arial"/>
          <w:b/>
          <w:bCs/>
          <w:color w:val="B45309"/>
          <w:sz w:val="20"/>
          <w:szCs w:val="20"/>
        </w:rPr>
        <w:t xml:space="preserve">Confidential — BA Use Only</w:t>
      </w:r>
    </w:p>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1. Executive Snapshot</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Projects</w:t>
            </w:r>
          </w:p>
        </w:tc>
        <w:tc>
          <w:tcPr>
            <w:tcW w:type="dxa" w:w="261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Active Forms</w:t>
            </w:r>
          </w:p>
        </w:tc>
        <w:tc>
          <w:tcPr>
            <w:tcW w:type="dxa" w:w="261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Level</w:t>
            </w:r>
          </w:p>
        </w:tc>
        <w:tc>
          <w:tcPr>
            <w:tcW w:type="dxa" w:w="261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Avg Coverage Score</w:t>
            </w:r>
          </w:p>
        </w:tc>
      </w:tr>
      <w:tr>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8"/>
                <w:szCs w:val="28"/>
              </w:rPr>
              <w:t xml:space="preserve">3</w:t>
            </w:r>
          </w:p>
        </w:tc>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8"/>
                <w:szCs w:val="28"/>
              </w:rPr>
              <w:t xml:space="preserve">26</w:t>
            </w:r>
          </w:p>
        </w:tc>
        <w:tc>
          <w:tcPr>
            <w:tcW w:type="dxa" w:w="261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4"/>
                <w:szCs w:val="24"/>
              </w:rPr>
              <w:t xml:space="preserve">HIGH</w:t>
            </w:r>
          </w:p>
        </w:tc>
        <w:tc>
          <w:tcPr>
            <w:tcW w:type="dxa" w:w="261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4"/>
                <w:szCs w:val="24"/>
              </w:rPr>
              <w:t xml:space="preserve">57 / 100</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Quality Gate Alerts</w:t>
      </w:r>
    </w:p>
    <w:p>
      <w:pPr>
        <w:spacing w:after="80" w:before="60"/>
      </w:pPr>
      <w:r>
        <w:rPr>
          <w:rFonts w:ascii="Arial" w:cs="Arial" w:eastAsia="Arial" w:hAnsi="Arial"/>
          <w:b/>
          <w:bCs/>
          <w:color w:val="9B1C1C"/>
          <w:sz w:val="19"/>
          <w:szCs w:val="19"/>
        </w:rPr>
        <w:t xml:space="preserve">Compliance gate failed: No explicit compliance constraints were linked, but security/privacy risks were detected in legacy behavior.</w:t>
      </w:r>
    </w:p>
    <w:p>
      <w:pPr>
        <w:spacing w:after="80" w:before="80"/>
      </w:pPr>
      <w:r>
        <w:t xml:space="preserve"/>
      </w:r>
    </w:p>
    <w:p>
      <w:pPr>
        <w:pStyle w:val="Heading2"/>
        <w:spacing w:after="120" w:before="280"/>
      </w:pPr>
      <w:r>
        <w:rPr>
          <w:rFonts w:ascii="Arial" w:cs="Arial" w:eastAsia="Arial" w:hAnsi="Arial"/>
          <w:b/>
          <w:bCs/>
          <w:color w:val="1B7A8C"/>
          <w:sz w:val="24"/>
          <w:szCs w:val="24"/>
        </w:rPr>
        <w:t xml:space="preserve">Summary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8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Modernization Readiness</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54/100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Risk Tier</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Inventory</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3 project(s), 26 forms/usercontrols, 10 dependencies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Recommended Strategy</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Phased UI migration recommended.</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Decisions Required</w:t>
      </w:r>
    </w:p>
    <w:p>
      <w:pPr>
        <w:spacing w:after="80" w:before="60"/>
      </w:pPr>
      <w:r>
        <w:rPr>
          <w:rFonts w:ascii="Arial" w:cs="Arial" w:eastAsia="Arial" w:hAnsi="Arial"/>
          <w:color w:val="2D2D2D"/>
          <w:sz w:val="19"/>
          <w:szCs w:val="19"/>
        </w:rPr>
        <w:t xml:space="preserve">The following decisions are needed before migration can proceed. Each is a current blocker for sprint planning.</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540"/>
        <w:gridCol w:w="2100"/>
      </w:tblGrid>
      <w:tr>
        <w:tc>
          <w:tcPr>
            <w:tcW w:type="dxa" w:w="10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554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Required</w:t>
            </w:r>
          </w:p>
        </w:tc>
        <w:tc>
          <w:tcPr>
            <w:tcW w:type="dxa" w:w="21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if Deferred</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DEC-UI-001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Target UI framework selection for migrated</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Target UI framework selection for migrated forms</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DEC-OCX-001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ActiveX/OCX replacement strategy by dependency</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ActiveX/OCX replacement strategy by dependency</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DEC-DB-001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Database contract strategy during migration</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Database contract strategy during migration</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DEC-VARIANT-001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Variant scope</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Resolve legacy project variant scope before planning execution and address cross-variant schema divergence.</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DEC-IAM-001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Identity model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Confirm identity/access model (role model, multi-user assumptions, and credential handling).</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DEC-SCHEMA-KEY-001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Transaction key model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delete-key behavior requires explicit decision.</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Q-001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Are there existing operational constraints or</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Are there existing operational constraints or integration dependencies not listed?</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DEC-EVENTMAP-001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Event-map coverage</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Form9 have zero extracted UI events with rich form profiles. Confirm whether these are stub forms or rerun extraction before sprint planning.</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2. Form Inventory — Business View</w:t>
      </w:r>
    </w:p>
    <w:p>
      <w:pPr>
        <w:spacing w:after="80" w:before="60"/>
      </w:pPr>
      <w:r>
        <w:rPr>
          <w:rFonts w:ascii="Arial" w:cs="Arial" w:eastAsia="Arial" w:hAnsi="Arial"/>
          <w:color w:val="2D2D2D"/>
          <w:sz w:val="19"/>
          <w:szCs w:val="19"/>
        </w:rPr>
        <w:t xml:space="preserve">26 active forms across 3 project variants. Inputs show the data fields a user enters. Outputs describe the business effect when the form action completes.</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2300"/>
        <w:gridCol w:w="2440"/>
      </w:tblGrid>
      <w:tr>
        <w:tc>
          <w:tcPr>
            <w:tcW w:type="dxa" w:w="22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11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4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3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Inputs (data fields)</w:t>
            </w:r>
          </w:p>
        </w:tc>
        <w:tc>
          <w:tcPr>
            <w:tcW w:type="dxa" w:w="24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Outputs (business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 [Account Type Maintenance]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maintenance and account setup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description, interest rate, min balance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master data maintained.,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 [Customer Management]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onboarding and maintenance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type, account no, email, mobile no, opening bal, phone no</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created or updated.,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 [Deposit Capture]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mode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Deposit transaction recorded., Transaction history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 [Record Search]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Record search and retrieval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Matching records displayed to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 [Transaction Entry]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balance, check no, code, credit, customer id, dated, debit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Deposit transaction recorded., Transaction history updated.,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 [Transaction History]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no, customer id, first, option 1, option 2</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history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 [Withdrawal Processing]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amountwithdrawn,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Transaction history updated.,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(BANK_SYSTEM)</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[Navigation/Menu]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[Date/Period Entry]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date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[Deposit Capture]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narration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balance and account details displayed for review., Customer details displayed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[Withdrawal Processing]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details displayed for review.,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[Transaction Ledger]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account no, balance, check no, credit, customer id, dated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configuration updated., Account type details displayed for selection., Transaction history displayed for review., Transaction ledger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[Password Management]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name, name 1, pass, pass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[Splash/Loading]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(Project1 (BANKING.vbp))</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credentials validated against stored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[Navigation/Menu]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[Date/Period Entry]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date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[Deposit Capture]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narration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balance and account details displayed for review., Customer details displayed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[Withdrawal Processing]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details displayed for review.,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 [Customer Management]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onboarding and maintenance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no, account id, account name, customer id, description, first, interest rate, min balance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created or updated.,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[Transaction Ledger]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account no, balance, check no, credit, customer id, dated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configuration updated., Account type details displayed for selection., Transaction history displayed for review., Transaction ledger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[Password Management]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name, name 1, pass, pass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[Splash/Loading]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 [Authentication Entry]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(Project1 (STUDENT BANKING/BANKING.vbp))</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credentials validated against stored records.</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K1 — Excluded / Unresolved Forms</w:t>
      </w:r>
    </w:p>
    <w:p>
      <w:pPr>
        <w:spacing w:after="80" w:before="60"/>
      </w:pPr>
      <w:r>
        <w:rPr>
          <w:rFonts w:ascii="Arial" w:cs="Arial" w:eastAsia="Arial" w:hAnsi="Arial"/>
          <w:color w:val="2D2D2D"/>
          <w:sz w:val="19"/>
          <w:szCs w:val="19"/>
        </w:rPr>
        <w:t xml:space="preserve">9 unique form files discovered on disk but not listed as active members in the .vbp project files. They appear across 17 variant project entries. Out of scope until variant and authentication decisions are confirmed.</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4740"/>
        <w:gridCol w:w="2400"/>
      </w:tblGrid>
      <w:tr>
        <w:tc>
          <w:tcPr>
            <w:tcW w:type="dxa" w:w="22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File Name</w:t>
            </w:r>
          </w:p>
        </w:tc>
        <w:tc>
          <w:tcPr>
            <w:tcW w:type="dxa" w:w="11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4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Found in Variants</w:t>
            </w:r>
          </w:p>
        </w:tc>
        <w:tc>
          <w:tcPr>
            <w:tcW w:type="dxa" w:w="24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accounttype.frm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deposit.frm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frmcustomer.frm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LOGIN.frm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Login</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newlogin.frm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Login</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splash.frm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Splash</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transaction.frm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withdrawal.frm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report.frm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3. Business Rules by Form</w:t>
      </w:r>
    </w:p>
    <w:p>
      <w:pPr>
        <w:spacing w:after="80" w:before="60"/>
      </w:pPr>
      <w:r>
        <w:rPr>
          <w:rFonts w:ascii="Arial" w:cs="Arial" w:eastAsia="Arial" w:hAnsi="Arial"/>
          <w:color w:val="2D2D2D"/>
          <w:sz w:val="19"/>
          <w:szCs w:val="19"/>
        </w:rPr>
        <w:t xml:space="preserve">Rules are extracted from source code and translated into business language. Each rule is categorised by type and linked to any risk register entry where applicable.</w:t>
      </w:r>
    </w:p>
    <w:p>
      <w:pPr>
        <w:spacing w:after="80" w:before="80"/>
      </w:pPr>
      <w:r>
        <w:t xml:space="preserve"/>
      </w:r>
    </w:p>
    <w:p>
      <w:pPr>
        <w:spacing w:after="80" w:before="200"/>
      </w:pPr>
      <w:r>
        <w:rPr>
          <w:rFonts w:ascii="Arial" w:cs="Arial" w:eastAsia="Arial" w:hAnsi="Arial"/>
          <w:b/>
          <w:bCs/>
          <w:color w:val="4B5563"/>
          <w:sz w:val="20"/>
          <w:szCs w:val="20"/>
        </w:rPr>
        <w:t xml:space="preserve">Project-Level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640"/>
        <w:gridCol w:w="17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2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 / Module</w:t>
            </w:r>
          </w:p>
        </w:tc>
        <w:tc>
          <w:tcPr>
            <w:tcW w:type="dxa" w:w="56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7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Manage customer profile lookup and maintenance workflows. (Consolidates: BR-004)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Workflow is orchestrated through UI event handlers and internal procedures. (Consolidates: BR-005, BR-008)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 persists and retrieves records from the listed tables. (Consolidates: BR-006)</w:t>
            </w:r>
          </w:p>
        </w:tc>
        <w:tc>
          <w:tcPr>
            <w:tcW w:type="dxa" w:w="1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authentication is required before entering the 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 persists and retrieves records from the listed tables.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the recordset/connection is active.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Input validation rule detected (IsNumeric/IsDate/Len).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Keyboard input routing determines which action path is executed.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Splash/loading behavior advances progress state before opening workflow screens.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Form3 [Deposit Capture]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BR-070)</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BR-071)</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BR-072)</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bl>
    <w:p>
      <w:pPr>
        <w:spacing w:after="80" w:before="80"/>
      </w:pPr>
      <w:r>
        <w:t xml:space="preserve"/>
      </w:r>
    </w:p>
    <w:p>
      <w:pPr>
        <w:spacing w:after="80" w:before="200"/>
      </w:pPr>
      <w:r>
        <w:rPr>
          <w:rFonts w:ascii="Arial" w:cs="Arial" w:eastAsia="Arial" w:hAnsi="Arial"/>
          <w:b/>
          <w:bCs/>
          <w:color w:val="4B5563"/>
          <w:sz w:val="20"/>
          <w:szCs w:val="20"/>
        </w:rPr>
        <w:t xml:space="preserve">Form4 [Withdrawal Processing]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BR-074)</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BR-075)</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BR-076)</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bl>
    <w:p>
      <w:pPr>
        <w:spacing w:after="80" w:before="80"/>
      </w:pPr>
      <w:r>
        <w:t xml:space="preserve"/>
      </w:r>
    </w:p>
    <w:p>
      <w:pPr>
        <w:spacing w:after="80" w:before="200"/>
      </w:pPr>
      <w:r>
        <w:rPr>
          <w:rFonts w:ascii="Arial" w:cs="Arial" w:eastAsia="Arial" w:hAnsi="Arial"/>
          <w:b/>
          <w:bCs/>
          <w:color w:val="4B5563"/>
          <w:sz w:val="20"/>
          <w:szCs w:val="20"/>
        </w:rPr>
        <w:t xml:space="preserve">Form6 [Transaction Ledger]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 (Consolidates: BR-087)</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RISK-003, RISK-018, RISK-023</w:t>
            </w:r>
          </w:p>
        </w:tc>
      </w:tr>
    </w:tbl>
    <w:p>
      <w:pPr>
        <w:spacing w:after="80" w:before="80"/>
      </w:pPr>
      <w:r>
        <w:t xml:space="preserve"/>
      </w:r>
    </w:p>
    <w:p>
      <w:pPr>
        <w:spacing w:after="80" w:before="200"/>
      </w:pPr>
      <w:r>
        <w:rPr>
          <w:rFonts w:ascii="Arial" w:cs="Arial" w:eastAsia="Arial" w:hAnsi="Arial"/>
          <w:b/>
          <w:bCs/>
          <w:color w:val="4B5563"/>
          <w:sz w:val="20"/>
          <w:szCs w:val="20"/>
        </w:rPr>
        <w:t xml:space="preserve">Form7 [Password Management]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the recordset/connection is active. (Consolidates: BR-088)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frmAccTypes [Account Type Maintenance]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frmDeposits [Deposit Capture]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BR-046)</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BR-047)</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BR-048)</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bl>
    <w:p>
      <w:pPr>
        <w:spacing w:after="80" w:before="80"/>
      </w:pPr>
      <w:r>
        <w:t xml:space="preserve"/>
      </w:r>
    </w:p>
    <w:p>
      <w:pPr>
        <w:spacing w:after="80" w:before="200"/>
      </w:pPr>
      <w:r>
        <w:rPr>
          <w:rFonts w:ascii="Arial" w:cs="Arial" w:eastAsia="Arial" w:hAnsi="Arial"/>
          <w:b/>
          <w:bCs/>
          <w:color w:val="4B5563"/>
          <w:sz w:val="20"/>
          <w:szCs w:val="20"/>
        </w:rPr>
        <w:t xml:space="preserve">frmTransaction [Transaction Entry]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frmTransactions [Transaction History]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frmWithdrawal [Withdrawal Processing]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main [Authentication]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decision branching</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menu selection routes the workflow to the corresponding module. (Consolidates: BR-020, BR-056, BR-057, BR-068, BR-069, BR-080, BR-081)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4. Traceability Coverage</w:t>
      </w:r>
    </w:p>
    <w:p>
      <w:pPr>
        <w:spacing w:after="80" w:before="60"/>
      </w:pPr>
      <w:r>
        <w:rPr>
          <w:rFonts w:ascii="Arial" w:cs="Arial" w:eastAsia="Arial" w:hAnsi="Arial"/>
          <w:color w:val="2D2D2D"/>
          <w:sz w:val="19"/>
          <w:szCs w:val="19"/>
        </w:rPr>
        <w:t xml:space="preserve">Each form is scored across four dimensions: event map, SQL map, business rules, and risk register linkage. Score of 100 = fully covered. Score of 0 = discovery work required before sprint assignment.</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Complete (100)</w:t>
            </w:r>
          </w:p>
        </w:tc>
        <w:tc>
          <w:tcPr>
            <w:tcW w:type="dxa" w:w="261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Near-complete (≥80)</w:t>
            </w:r>
          </w:p>
        </w:tc>
        <w:tc>
          <w:tcPr>
            <w:tcW w:type="dxa" w:w="261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Partial (40–79)</w:t>
            </w:r>
          </w:p>
        </w:tc>
        <w:tc>
          <w:tcPr>
            <w:tcW w:type="dxa" w:w="261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Discovery Gap (&lt;40)</w:t>
            </w:r>
          </w:p>
        </w:tc>
      </w:tr>
      <w:tr>
        <w:tc>
          <w:tcPr>
            <w:tcW w:type="dxa" w:w="261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2"/>
                <w:szCs w:val="22"/>
              </w:rPr>
              <w:t xml:space="preserve">6 forms</w:t>
            </w:r>
          </w:p>
        </w:tc>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2"/>
                <w:szCs w:val="22"/>
              </w:rPr>
              <w:t xml:space="preserve">3 forms</w:t>
            </w:r>
          </w:p>
        </w:tc>
        <w:tc>
          <w:tcPr>
            <w:tcW w:type="dxa" w:w="261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22"/>
                <w:szCs w:val="22"/>
              </w:rPr>
              <w:t xml:space="preserve">10 forms</w:t>
            </w:r>
          </w:p>
        </w:tc>
        <w:tc>
          <w:tcPr>
            <w:tcW w:type="dxa" w:w="261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2"/>
                <w:szCs w:val="22"/>
              </w:rPr>
              <w:t xml:space="preserve">7 forms</w:t>
            </w:r>
          </w:p>
        </w:tc>
      </w:tr>
    </w:tbl>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820"/>
        <w:gridCol w:w="820"/>
        <w:gridCol w:w="820"/>
        <w:gridCol w:w="820"/>
        <w:gridCol w:w="380"/>
      </w:tblGrid>
      <w:tr>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3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Project</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Events</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SQL</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38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(BANK_SYSTEM)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5. Sprint Dependency Map</w:t>
      </w:r>
    </w:p>
    <w:p>
      <w:pPr>
        <w:spacing w:after="80" w:before="60"/>
      </w:pPr>
      <w:r>
        <w:rPr>
          <w:rFonts w:ascii="Arial" w:cs="Arial" w:eastAsia="Arial" w:hAnsi="Arial"/>
          <w:color w:val="2D2D2D"/>
          <w:sz w:val="19"/>
          <w:szCs w:val="19"/>
        </w:rPr>
        <w:t xml:space="preserve">Sprint 0 = discovery closure required (7 forms). Sprint 1 = risk-first migration of core transactional forms. Sprint 2 = parity hardening. Shared Components must be built before any form that lists them can be migrated.</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0 — Discovery</w:t>
            </w:r>
          </w:p>
        </w:tc>
        <w:tc>
          <w:tcPr>
            <w:tcW w:type="dxa" w:w="348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1 — Risk-First</w:t>
            </w:r>
          </w:p>
        </w:tc>
        <w:tc>
          <w:tcPr>
            <w:tcW w:type="dxa" w:w="348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2 — Hardening</w:t>
            </w:r>
          </w:p>
        </w:tc>
      </w:tr>
      <w:tr>
        <w:tc>
          <w:tcPr>
            <w:tcW w:type="dxa" w:w="34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2"/>
                <w:szCs w:val="22"/>
              </w:rPr>
              <w:t xml:space="preserve">17 forms</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22"/>
                <w:szCs w:val="22"/>
              </w:rPr>
              <w:t xml:space="preserve">6 forms</w:t>
            </w:r>
          </w:p>
        </w:tc>
        <w:tc>
          <w:tcPr>
            <w:tcW w:type="dxa" w:w="34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2"/>
                <w:szCs w:val="22"/>
              </w:rPr>
              <w:t xml:space="preserve">3 forms</w:t>
            </w:r>
          </w:p>
        </w:tc>
      </w:tr>
    </w:tbl>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2400"/>
        <w:gridCol w:w="244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Depends On</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Shared Components</w:t>
            </w:r>
          </w:p>
        </w:tc>
        <w:tc>
          <w:tcPr>
            <w:tcW w:type="dxa" w:w="2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 RISK-001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 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 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RISK-026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ValidNumeric</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(Project1 (STUDENT BANKING/BANKING.vbp))</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(Project1 (BANKING.vbp))</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connectDatabase,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(BANK_SYSTEM)</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RISK-003, RISK-018</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MoveToPrev,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RISK-016, RISK-017</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RISK-010, RISK-011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RISK-003, RISK-018</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MoveToPrev,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RISK-016, RISK-017</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RISK-010, RISK-011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6. Risk Register</w:t>
      </w:r>
    </w:p>
    <w:p>
      <w:pPr>
        <w:spacing w:after="80" w:before="60"/>
      </w:pPr>
      <w:r>
        <w:rPr>
          <w:rFonts w:ascii="Arial" w:cs="Arial" w:eastAsia="Arial" w:hAnsi="Arial"/>
          <w:color w:val="2D2D2D"/>
          <w:sz w:val="19"/>
          <w:szCs w:val="19"/>
        </w:rPr>
        <w:t xml:space="preserve">All risks extracted by the analysis platform. High severity risks must be resolved before go-live.</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4640"/>
        <w:gridCol w:w="2100"/>
      </w:tblGrid>
      <w:tr>
        <w:tc>
          <w:tcPr>
            <w:tcW w:type="dxa" w:w="9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0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8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464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1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Recommended Action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RISK-001</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Form5 [Customer Management]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Legacy code uses default object/form instances, which can change behavior during migration.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Refactor default-instance references to explicit object instances and update call sites.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LOGIN.frm [Excluded]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Legacy UI relies on control-array index patterns that require explicit replacement in the target UI.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Define a control-array replacement strategy and validate event parity with focused tests.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RISK-004</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RISK-005</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sql:25: select_star,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sql:26: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RISK-007</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sql:27: select_star,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RISK-008</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Main [Authentication]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sql:28: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RISK-009</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Main [Authentication]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sql:29: select_star,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sql:30: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sql:31: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RISK-012</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sql:32: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RISK-013</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sql:33: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RISK-014</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RISK-015</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sql:35: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Form4 [Withdrawal 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RISK-017</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Form4 [Withdrawal 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sql:45: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RISK-018</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sql:46: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RISK-019</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sql:47: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RISK-020</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sql:56: string_concatenation, possible_injection,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sql:57: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sql:58: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sql:59: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RISK-024</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sql:61: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RISK-025</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sql:62: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calculation depends on UI caption value instead of persisted balance source.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Refactor balance calculations to use persisted/accounting source of truth and add parity tests covering caption/display mismatch scenarios.</w:t>
            </w:r>
          </w:p>
        </w:tc>
      </w:tr>
    </w:tbl>
    <w:p>
      <w:pPr>
        <w:spacing w:after="80" w:before="80"/>
      </w:pPr>
      <w:r>
        <w:t xml:space="preserv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tabs>
        <w:tab w:val="right" w:pos="10440"/>
      </w:tabs>
      <w:spacing w:before="80"/>
    </w:pPr>
    <w:r>
      <w:rPr>
        <w:rFonts w:ascii="Arial" w:cs="Arial" w:eastAsia="Arial" w:hAnsi="Arial"/>
        <w:color w:val="4B5563"/>
        <w:sz w:val="16"/>
        <w:szCs w:val="16"/>
      </w:rPr>
      <w:t xml:space="preserve">Confidential — BA Use Only</w:t>
    </w:r>
    <w: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tabs>
        <w:tab w:val="right" w:pos="10440"/>
      </w:tabs>
      <w:spacing w:after="80"/>
    </w:pPr>
    <w:r>
      <w:rPr>
        <w:rFonts w:ascii="Arial" w:cs="Arial" w:eastAsia="Arial" w:hAnsi="Arial"/>
        <w:b/>
        <w:bCs/>
        <w:color w:val="1F3864"/>
        <w:sz w:val="18"/>
        <w:szCs w:val="18"/>
      </w:rPr>
      <w:t xml:space="preserve">Modernization Brief - Banking Application Modernization — Business Analyst Brief</w:t>
    </w:r>
    <w:r>
      <w:t xml:space="preserve">	</w:t>
    </w:r>
    <w:r>
      <w:rPr>
        <w:rFonts w:ascii="Arial" w:cs="Arial" w:eastAsia="Arial" w:hAnsi="Arial"/>
        <w:color w:val="1B7A8C"/>
        <w:sz w:val="16"/>
        <w:szCs w:val="16"/>
      </w:rPr>
      <w:t xml:space="preserve">Synthetix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2026-03-05T01:34:38.793Z</dcterms:created>
  <dcterms:modified xsi:type="dcterms:W3CDTF">2026-03-05T01:34:38.794Z</dcterms:modified>
</cp:coreProperties>
</file>

<file path=docProps/custom.xml><?xml version="1.0" encoding="utf-8"?>
<Properties xmlns="http://schemas.openxmlformats.org/officeDocument/2006/custom-properties" xmlns:vt="http://schemas.openxmlformats.org/officeDocument/2006/docPropsVTypes"/>
</file>