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Legacy Modernization Scope - Full Stack Transformation Workbook</w:t>
            </w:r>
          </w:p>
        </w:tc>
      </w:tr>
    </w:tbl>
    <w:p>
      <w:r>
        <w:rPr>
          <w:b/>
          <w:color w:val="1F6B75"/>
          <w:sz w:val="26"/>
        </w:rPr>
        <w:t>Legacy Modernization Scope</w:t>
      </w:r>
    </w:p>
    <w:p>
      <w:r>
        <w:rPr>
          <w:b w:val="0"/>
          <w:color w:val="111827"/>
          <w:sz w:val="20"/>
        </w:rPr>
        <w:t>Phased modernization strategy with JWM integration, dependency protection, and parallel translation capabilities for medium-risk enterprise transformation</w:t>
      </w:r>
    </w:p>
    <w:p>
      <w:r>
        <w:rPr>
          <w:b w:val="0"/>
          <w:color w:val="6B7280"/>
          <w:sz w:val="18"/>
        </w:rPr>
        <w:t>Run 20260513_095821_c0655edd  ·  Generated 2026-05-13T09:59:45.608997+00:00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High-level overview of the full stack modernization scope, current readiness assessment, and strategic approach for JWM integration with dependency protection measures.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Full stack — JWM + helper + DP guards (paradigm/bc/cutover/critic re-run) + auto-ack + 5x parallel translator on Contractor.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Phased modernization recommended.</w:t>
      </w:r>
    </w:p>
    <w:p>
      <w:r>
        <w:rPr>
          <w:b w:val="0"/>
          <w:color w:val="111827"/>
          <w:sz w:val="20"/>
        </w:rPr>
        <w:t>This workbook outlines a comprehensive legacy modernization initiative targeting full stack transformation with JWM integration, helper components, and dependency protection guards. The project employs a phased modernization strategy designed to preserve existing behavior while enabling controlled transformation through three distinct phases: baseline establishment with equivalence harness, incremental migration with dependency risk controls, and hardening with release evidence. With a current readiness score of 60 and medium risk classification, this initiative requires careful orchestration of paradigm shifts, business continuity measures, cutover procedures, and critic re-runs alongside automated acknowledgment systems and 5x parallel translation capabilities on contractor resources.</w:t>
      </w:r>
    </w:p>
    <w:p>
      <w:pPr>
        <w:pStyle w:val="ListParagraph"/>
      </w:pPr>
      <w:r>
        <w:rPr>
          <w:b w:val="0"/>
          <w:color w:val="111827"/>
          <w:sz w:val="18"/>
        </w:rPr>
        <w:t>- Full stack modernization with JWM + helper components and dependency protection guards</w:t>
      </w:r>
    </w:p>
    <w:p>
      <w:pPr>
        <w:pStyle w:val="ListParagraph"/>
      </w:pPr>
      <w:r>
        <w:rPr>
          <w:b w:val="0"/>
          <w:color w:val="111827"/>
          <w:sz w:val="18"/>
        </w:rPr>
        <w:t>- Phased approach: baseline capture → incremental migration → hardening and release evidence</w:t>
      </w:r>
    </w:p>
    <w:p>
      <w:pPr>
        <w:pStyle w:val="ListParagraph"/>
      </w:pPr>
      <w:r>
        <w:rPr>
          <w:b w:val="0"/>
          <w:color w:val="111827"/>
          <w:sz w:val="18"/>
        </w:rPr>
        <w:t>- Medium risk tier with 60% readiness score requiring controlled transformation methodology</w:t>
      </w:r>
    </w:p>
    <w:p>
      <w:pPr>
        <w:pStyle w:val="ListParagraph"/>
      </w:pPr>
      <w:r>
        <w:rPr>
          <w:b w:val="0"/>
          <w:color w:val="111827"/>
          <w:sz w:val="18"/>
        </w:rPr>
        <w:t>- Automated acknowledgment systems with 5x parallel translation on contractor infrastructure</w:t>
      </w:r>
    </w:p>
    <w:p>
      <w:pPr>
        <w:pStyle w:val="ListParagraph"/>
      </w:pPr>
      <w:r>
        <w:rPr>
          <w:b w:val="0"/>
          <w:color w:val="111827"/>
          <w:sz w:val="18"/>
        </w:rPr>
        <w:t>- Comprehensive paradigm shift management with business continuity and cutover controls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60/100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medium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r>
        <w:rPr>
          <w:b/>
          <w:color w:val="2E75B6"/>
          <w:sz w:val="18"/>
        </w:rPr>
        <w:t xml:space="preserve">Readiness Gap: </w:t>
      </w:r>
      <w:r>
        <w:rPr>
          <w:b w:val="0"/>
          <w:color w:val="111827"/>
          <w:sz w:val="18"/>
        </w:rPr>
        <w:t>Current readiness score of 60% indicates significant preparation work required before full modernization can commence safely</w:t>
      </w:r>
    </w:p>
    <w:p>
      <w:r>
        <w:rPr>
          <w:b/>
          <w:color w:val="2E75B6"/>
          <w:sz w:val="18"/>
        </w:rPr>
        <w:t xml:space="preserve">Risk Classification: </w:t>
      </w:r>
      <w:r>
        <w:rPr>
          <w:b w:val="0"/>
          <w:color w:val="111827"/>
          <w:sz w:val="18"/>
        </w:rPr>
        <w:t>Medium risk tier necessitates enhanced monitoring and controlled rollout procedures throughout all transformation phases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Phased modernization: </w:t>
      </w:r>
      <w:r>
        <w:rPr>
          <w:b w:val="0"/>
          <w:color w:val="111827"/>
          <w:sz w:val="20"/>
        </w:rPr>
        <w:t>Preserve behavior first, then modernize in controlled phases.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Derived backlog coverage below dynamic threshold (1/3) for discovered scope (0 forms).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pass=12, warn=4,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12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4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pass=12, warn=4,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0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Rule scope form references resolve against discovered form inventory.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Comprehensive mapping of system dependencies, integration points, and risk controls required for safe incremental migration and parallel translation operations.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Detailed documentation of forms and modules targeted for migration, including behavior preservation requirements and transformation specifications.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BR-NA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No business rules available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End-to-end process flows and golden path documentation to establish baseline equivalence and validate modernization outcomes across all phases.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Requirements traceability matrix linking legacy components to modernized equivalents, ensuring complete coverage and behavioral consistency validation.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Phased delivery schedule with sprint planning for baseline establishment, incremental migration, and hardening activities across the three-phase strategy.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Risk assessment and mitigation strategies for medium-tier classification, including dependency failures, cutover issues, and parallel translation challenges.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RISK-PARSE-001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The primary Analyst LLM response could not be parsed into valid JSON, so Synthetix compiled the requirements pack from deterministic evidence instead.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Review the generated artifacts and rerun with a stricter output contract if additional narrative depth is required.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artifact://legacy_inventory/1.0/art_legacy_inventory_d923ce6c057b4d0c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artifact://repo_landscape/1.0/art_repo_landscape_8f61a97b004f4ef1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artifact://scope_lock/1.0/art_scope_lock_0eafb670dd854c7a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artifact://variant_inventory/1.0/art_variant_inventory_7f8c13f288864014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artifact://event_map/1.0/art_event_map_43a43e9f23894d76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artifact://sql_catalog/1.0/art_sql_catalog_96a8a14718384fac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artifact://sql_map/1.0/art_sql_map_fa9b624067de4be3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artifact://data_access_map/1.0/art_data_access_map_db4caf88b9f44775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artifact://recordset_ops/1.0/art_recordset_ops_6d6cf5f9997c4b9d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artifact://procedure_summary/1.0/art_procedure_summary_6af669ceabca49d9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artifact://form_dossier/1.0/art_form_dossier_c286085d420747e8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artifact://dependency_inventory/1.0/art_dependency_inventory_dae23d2921814b35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artifact://dependency_inventory/1.0/art_dependency_inventory_dae23d2921814b35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artifact://business_rule_catalog/1.0/art_business_rule_catalog_ccf9e318825c49c4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artifact://detector_findings/1.0/art_detector_findings_ca45ed6c4b214a5f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artifact://risk_register/1.0/art_risk_register_743ee322f05446db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artifact://orphan_analysis/1.0/art_orphan_analysis_7223cfd4cb074fb3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artifact://delivery_constitution/1.0/art_delivery_constitution_7ff15ede53444ceb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artifact://variant_diff_report/1.0/art_variant_diff_report_21edba803d0e4b7c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artifact://reporting_model/1.0/art_reporting_model_c5535875effb4d07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artifact://identity_access_model/1.0/art_identity_access_model_13e6eb7c40a145e9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artifact://discover_review_checklist/1.0/art_discover_review_checklist_0f424725dcac4469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artifact://artifact_index/1.0/art_artifact_index_ec70f042356e4ab2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runctx://runctx-4a88a9a9aad9f403/kctx-9902e42d32f8c0bb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runctx://runctx-4a88a9a9aad9f403/delivery_constitution/const-b4a949cd30e9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