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Connect UI to .NET Contractor API (P0)</w:t>
      </w:r>
    </w:p>
    <w:p>
      <w:pPr>
        <w:spacing w:after="80" w:before="80"/>
      </w:pPr>
      <w:r>
        <w:rPr>
          <w:sz w:val="22"/>
          <w:szCs w:val="22"/>
        </w:rPr>
        <w:t xml:space="preserve">The user interface must be connected to the .NET API endpoint at /api/v1/contractor to facilitate contractor management operations.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UI successfully sends and receives data from the /api/v1/contractor endpoint.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API calls are logged for audit purposes.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messages are displayed to the user in case of API failures.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Implement Missing Validators (P0)</w:t>
      </w:r>
    </w:p>
    <w:p>
      <w:pPr>
        <w:spacing w:after="80" w:before="80"/>
      </w:pPr>
      <w:r>
        <w:rPr>
          <w:sz w:val="22"/>
          <w:szCs w:val="22"/>
        </w:rPr>
        <w:t xml:space="preserve">Complete all missing validators to ensure data integrity for contractor information.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input fields are validated according to business rules before submission.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 data is rejected with appropriate error messages.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Validation logic is unit tested with 100% coverage.</w:t>
      </w:r>
    </w:p>
    <w:p>
      <w:pPr>
        <w:spacing w:after="80" w:before="80"/>
      </w:pPr>
      <w:r>
        <w:rPr>
          <w:sz w:val="22"/>
          <w:szCs w:val="22"/>
        </w:rPr>
        <w:t xml:space="preserve">*Grounding: matched 4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API Documentation (P1)</w:t>
      </w:r>
    </w:p>
    <w:p>
      <w:pPr>
        <w:spacing w:after="80" w:before="80"/>
      </w:pPr>
      <w:r>
        <w:rPr>
          <w:sz w:val="22"/>
          <w:szCs w:val="22"/>
        </w:rPr>
        <w:t xml:space="preserve">Provide detailed API documentation for the /api/v1/contractor endpoint.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documentation is available and accessible to developers.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includes request/response examples and error codes.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updated with every API change.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show response times under 200ms for 95% of requests.; Performance metrics are regularly reviewed and optimized.; Scalability tests confirm the API can handle peak loads.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audits confirm compliance with industry standards.; Penetration tests show no critical vulnerabilities.; Security patches are applied promptly.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monitoring shows 99.9% uptime over a rolling 30-day period.; Redundancy measures are in place to handle failures.; Regular backups are performed and verified.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Developer feedback indicates ease of use.; API documentation is clear and comprehensive.; Integration guides are provided and updated regularly.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critical operations are logged.; Monitoring dashboards provide real-time insights.; Alerts are configured for key performance indicators.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data must be validated before submission.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Incomplete validator implementation may lead to data integrity issues.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a thorough review of all validators and ensure comprehensive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integration may introduce security vulnerabilities.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security audits and penetration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issues due to increased load on the new API.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load testing and optimize API performance.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2026-05-12T19:52:11.836Z</dcterms:created>
  <dcterms:modified xsi:type="dcterms:W3CDTF">2026-05-12T19:52:11.836Z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