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A comprehensive guide to modernizing the MagicBox codebase in Phase 9.</w:t>
      </w:r>
    </w:p>
    <w:p>
      <w:r>
        <w:rPr>
          <w:b w:val="0"/>
          <w:color w:val="6B7280"/>
          <w:sz w:val="18"/>
        </w:rPr>
        <w:t>Run 20260513_154251_5c841fe4  ·  Generated 2026-05-13T15:43:47.614490+00:00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objectives and current project status.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modernize the existing codebase as part of Phase 9, focusing on tracks 1/2A/2C, with specific emphasis on using-hoist and outcome-focused functional requirements while suppressing BRD prose.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UI Migration recommended.</w:t>
      </w:r>
    </w:p>
    <w:p>
      <w:r>
        <w:rPr>
          <w:b w:val="0"/>
          <w:color w:val="111827"/>
          <w:sz w:val="20"/>
        </w:rPr>
        <w:t>The MagicBox Modernization project aims to update the existing codebase, focusing on tracks 1/2A/2C. This involves using-hoist and outcome-focused functional requirements, while avoiding traditional BRD prose. The strategy, Phased UI Migration, ensures a smooth transition to new technologies, maintaining current functionality. The project is currently in a high-risk tier with a readiness score of zero, indicating the need for careful planning and execution.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codebase in Phase 9, focusing on tracks 1/2A/2C.</w:t>
      </w:r>
    </w:p>
    <w:p>
      <w:pPr>
        <w:pStyle w:val="ListParagraph"/>
      </w:pPr>
      <w:r>
        <w:rPr>
          <w:b w:val="0"/>
          <w:color w:val="111827"/>
          <w:sz w:val="18"/>
        </w:rPr>
        <w:t>- Emphasize using-hoist and outcome-focused requirements.</w:t>
      </w:r>
    </w:p>
    <w:p>
      <w:pPr>
        <w:pStyle w:val="ListParagraph"/>
      </w:pPr>
      <w:r>
        <w:rPr>
          <w:b w:val="0"/>
          <w:color w:val="111827"/>
          <w:sz w:val="18"/>
        </w:rPr>
        <w:t>- Suppress traditional BRD prose for clarity.</w:t>
      </w:r>
    </w:p>
    <w:p>
      <w:pPr>
        <w:pStyle w:val="ListParagraph"/>
      </w:pPr>
      <w:r>
        <w:rPr>
          <w:b w:val="0"/>
          <w:color w:val="111827"/>
          <w:sz w:val="18"/>
        </w:rPr>
        <w:t>- Phased UI Migration strategy for gradual transition.</w:t>
      </w:r>
    </w:p>
    <w:p>
      <w:pPr>
        <w:pStyle w:val="ListParagraph"/>
      </w:pPr>
      <w:r>
        <w:rPr>
          <w:b w:val="0"/>
          <w:color w:val="111827"/>
          <w:sz w:val="18"/>
        </w:rPr>
        <w:t>- Current risk tier is high; readiness score is zero.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High-risk tier requires immediate attention.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UI Migration: </w:t>
      </w:r>
      <w:r>
        <w:rPr>
          <w:b w:val="0"/>
          <w:color w:val="111827"/>
          <w:sz w:val="20"/>
        </w:rPr>
        <w:t>Allows gradual transition to new technologies while maintaining existing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(4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2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Candidate management, Placement management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dependencies to identify potential risks and control measures.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and modules for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 management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by a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  <w:tr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BR-002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Candidate management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input_validation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Candidate data must be validated before submission.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ensure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all changes are traceable to functional requirements.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planned sprints for incremental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risks associated with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thorough data backup and validation procedures.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Incompatibility with existing third-party services.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compatibility testing with all external services.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artifact://legacy_inventory/1.0/art_legacy_inventory_ee73ec1808f24095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artifact://repo_landscape/1.0/art_repo_landscape_0624892f71214578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artifact://scope_lock/1.0/art_scope_lock_f589e19bfc8e4661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artifact://variant_inventory/1.0/art_variant_inventory_29fff1f2e0714d0c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artifact://event_map/1.0/art_event_map_68b9c46d2c4f49f3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artifact://sql_catalog/1.0/art_sql_catalog_f53be5b5ed3e43ef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artifact://sql_map/1.0/art_sql_map_8f5604c9ac994f5a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artifact://data_access_map/1.0/art_data_access_map_c375ffb05ad64d2c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artifact://recordset_ops/1.0/art_recordset_ops_9439e01ca0ae42eb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artifact://procedure_summary/1.0/art_procedure_summary_45c38100b94740ae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artifact://form_dossier/1.0/art_form_dossier_bbbfd7bc7de144e7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artifact://dependency_inventory/1.0/art_dependency_inventory_a195218b6d604b7f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artifact://dependency_inventory/1.0/art_dependency_inventory_a195218b6d604b7f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artifact://business_rule_catalog/1.0/art_business_rule_catalog_7c057a32daa24f1e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artifact://detector_findings/1.0/art_detector_findings_c20b1cbd357f43ca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artifact://risk_register/1.0/art_risk_register_3eaf0d422056461d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artifact://orphan_analysis/1.0/art_orphan_analysis_36fa8d2f25c7425a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artifact://delivery_constitution/1.0/art_delivery_constitution_1febfc53f85348ff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artifact://variant_diff_report/1.0/art_variant_diff_report_e05a071ff7644c28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artifact://reporting_model/1.0/art_reporting_model_ee628cca95c54a16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artifact://identity_access_model/1.0/art_identity_access_model_f53350254c1f4b16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artifact://discover_review_checklist/1.0/art_discover_review_checklist_4252f50af24b45b1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artifact://artifact_index/1.0/art_artifact_index_16cafe353fcf4777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runctx://runctx-a9210436392c95b4/kctx-9902e42d32f8c0bb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runctx://runctx-a9210436392c95b4/delivery_constitution/const-9cbdcd7cebb5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