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_synthetix_custom_props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SYNTHETIX  PLATFORM</w:t>
      </w:r>
    </w:p>
    <w:p>
      <w:pPr>
        <w:pStyle w:val="Title"/>
      </w:pPr>
      <w:r>
        <w:rPr>
          <w:color w:val="1F2E4A"/>
        </w:rPr>
        <w:t>Capability BRD</w:t>
      </w:r>
    </w:p>
    <w:p>
      <w:r>
        <w:rPr>
          <w:i/>
        </w:rPr>
        <w:t>Engagement: 20260422_101316_fe0e91f8 · Repo: https://github.com/vishakjai/sweet-bank · Artifact: art_capbrd_8a6486c1a125</w:t>
      </w:r>
    </w:p>
    <w:p>
      <w:r>
        <w:rPr>
          <w:b/>
          <w:color w:val="B00000"/>
        </w:rPr>
        <w:t xml:space="preserve">⚠ GENERATOR WARNINGS — </w:t>
      </w:r>
      <w:r>
        <w:rPr>
          <w:color w:val="B00000"/>
        </w:rPr>
        <w:t>W-002 partial coverage: module 'root' has no production symbols in symbol_index_v1.; W-002 partial coverage: module 'account' has no production symbols in symbol_index_v1.; W-002 partial coverage: module 'app' has no production symbols in symbol_index_v1.; W-002 partial coverage: module 'balance' has no production symbols in symbol_index_v1.; W-002 partial coverage: module 'dashboard' has no production symbols in symbol_index_v1.; W-002 partial coverage: module 'network' has no production symbols in symbol_index_v1.; W-002 partial coverage: module 'payees' has no production symbols in symbol_index_v1.; W-002 partial coverage: module 'resources' has no production symbols in symbol_index_v1.; W-002 partial coverage: module 'Support Artifacts' has no production symbols in symbol_index_v1.</w:t>
      </w:r>
    </w:p>
    <w:p>
      <w:pPr>
        <w:pStyle w:val="Heading1"/>
      </w:pPr>
      <w:r>
        <w:rPr>
          <w:color w:val="1F2E4A"/>
        </w:rPr>
        <w:t>1.  Executive Summary</w:t>
      </w:r>
    </w:p>
    <w:p>
      <w:r>
        <w:rPr>
          <w:b w:val="0"/>
          <w:i w:val="0"/>
        </w:rPr>
        <w:t>This document catalogues the present capabilities of https://github.com/vishakjai/sweet-bank. It answers the question 'what does the system do today' and is the parity contract every migration FR with "preserve existing" in its acceptance criteria must cite.</w:t>
      </w:r>
    </w:p>
    <w:p>
      <w:r>
        <w:rPr>
          <w:b/>
          <w:i/>
          <w:color w:val="555555"/>
        </w:rPr>
        <w:t xml:space="preserve">[Sourcing note] </w:t>
      </w:r>
      <w:r>
        <w:rPr>
          <w:i/>
          <w:color w:val="555555"/>
        </w:rPr>
        <w:t>Sections grounded in code evidence (FR26 Data Model, FR27 API Specification, FR28 Security, FR25 business-rule patterns, FR31 workflows) are populated deterministically. Narrative dimensions (FR24, FR29, FR30 + FR25 domain rules) are filled by the LLM extractor; a per-dimension banner explains when the LLM returned no items or failed for a given module.</w:t>
      </w:r>
    </w:p>
    <w:p>
      <w:pPr>
        <w:pStyle w:val="Heading1"/>
      </w:pPr>
      <w:r>
        <w:rPr>
          <w:color w:val="1F2E4A"/>
        </w:rPr>
        <w:t>2.  Architecture Overview</w:t>
      </w:r>
    </w:p>
    <w:p>
      <w:r>
        <w:rPr>
          <w:b w:val="0"/>
          <w:i w:val="0"/>
        </w:rPr>
        <w:t>Pattern: uncategorized · Modules: 9 · DI framework: none</w:t>
      </w:r>
    </w:p>
    <w:p>
      <w:pPr>
        <w:pStyle w:val="Heading1"/>
      </w:pPr>
      <w:r>
        <w:rPr>
          <w:color w:val="1F2E4A"/>
        </w:rPr>
        <w:t>3. 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Dependency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Scope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androidx.core:core-ktx</w:t>
            </w:r>
          </w:p>
        </w:tc>
        <w:tc>
          <w:tcPr>
            <w:tcW w:type="dxa" w:w="2160"/>
          </w:tcPr>
          <w:p>
            <w:r>
              <w:t>1.3.2</w:t>
            </w:r>
          </w:p>
        </w:tc>
        <w:tc>
          <w:tcPr>
            <w:tcW w:type="dxa" w:w="2160"/>
          </w:tcPr>
          <w:p>
            <w:r>
              <w:t>implementation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com.squareup.moshi:moshi</w:t>
            </w:r>
          </w:p>
        </w:tc>
        <w:tc>
          <w:tcPr>
            <w:tcW w:type="dxa" w:w="2160"/>
          </w:tcPr>
          <w:p>
            <w:r>
              <w:t>$moshi_version</w:t>
            </w:r>
          </w:p>
        </w:tc>
        <w:tc>
          <w:tcPr>
            <w:tcW w:type="dxa" w:w="2160"/>
          </w:tcPr>
          <w:p>
            <w:r>
              <w:t>api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com.squareup.moshi:moshi-kotlin</w:t>
            </w:r>
          </w:p>
        </w:tc>
        <w:tc>
          <w:tcPr>
            <w:tcW w:type="dxa" w:w="2160"/>
          </w:tcPr>
          <w:p>
            <w:r>
              <w:t>$moshi_version</w:t>
            </w:r>
          </w:p>
        </w:tc>
        <w:tc>
          <w:tcPr>
            <w:tcW w:type="dxa" w:w="2160"/>
          </w:tcPr>
          <w:p>
            <w:r>
              <w:t>implementation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com.squareup.retrofit2:converter-moshi</w:t>
            </w:r>
          </w:p>
        </w:tc>
        <w:tc>
          <w:tcPr>
            <w:tcW w:type="dxa" w:w="2160"/>
          </w:tcPr>
          <w:p>
            <w:r>
              <w:t>$retrofit_version</w:t>
            </w:r>
          </w:p>
        </w:tc>
        <w:tc>
          <w:tcPr>
            <w:tcW w:type="dxa" w:w="2160"/>
          </w:tcPr>
          <w:p>
            <w:r>
              <w:t>implementation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junit:junit</w:t>
            </w:r>
          </w:p>
        </w:tc>
        <w:tc>
          <w:tcPr>
            <w:tcW w:type="dxa" w:w="2160"/>
          </w:tcPr>
          <w:p>
            <w:r>
              <w:t>4.13.1</w:t>
            </w:r>
          </w:p>
        </w:tc>
        <w:tc>
          <w:tcPr>
            <w:tcW w:type="dxa" w:w="2160"/>
          </w:tcPr>
          <w:p>
            <w:r>
              <w:t>testImplementation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org.jetbrains.kotlin:kotlin-stdlib-jdk7</w:t>
            </w:r>
          </w:p>
        </w:tc>
        <w:tc>
          <w:tcPr>
            <w:tcW w:type="dxa" w:w="2160"/>
          </w:tcPr>
          <w:p>
            <w:r>
              <w:t>$kotlin_version</w:t>
            </w:r>
          </w:p>
        </w:tc>
        <w:tc>
          <w:tcPr>
            <w:tcW w:type="dxa" w:w="2160"/>
          </w:tcPr>
          <w:p>
            <w:r>
              <w:t>implementation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org.jetbrains.kotlinx:kotlinx-coroutines-android</w:t>
            </w:r>
          </w:p>
        </w:tc>
        <w:tc>
          <w:tcPr>
            <w:tcW w:type="dxa" w:w="2160"/>
          </w:tcPr>
          <w:p>
            <w:r>
              <w:t>$coroutines_version</w:t>
            </w:r>
          </w:p>
        </w:tc>
        <w:tc>
          <w:tcPr>
            <w:tcW w:type="dxa" w:w="2160"/>
          </w:tcPr>
          <w:p>
            <w:r>
              <w:t>implementation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org.jetbrains.kotlinx:kotlinx-coroutines-core</w:t>
            </w:r>
          </w:p>
        </w:tc>
        <w:tc>
          <w:tcPr>
            <w:tcW w:type="dxa" w:w="2160"/>
          </w:tcPr>
          <w:p>
            <w:r>
              <w:t>$coroutines_version</w:t>
            </w:r>
          </w:p>
        </w:tc>
        <w:tc>
          <w:tcPr>
            <w:tcW w:type="dxa" w:w="2160"/>
          </w:tcPr>
          <w:p>
            <w:r>
              <w:t>implementation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org.koin:koin-android</w:t>
            </w:r>
          </w:p>
        </w:tc>
        <w:tc>
          <w:tcPr>
            <w:tcW w:type="dxa" w:w="2160"/>
          </w:tcPr>
          <w:p>
            <w:r>
              <w:t>$koin_version</w:t>
            </w:r>
          </w:p>
        </w:tc>
        <w:tc>
          <w:tcPr>
            <w:tcW w:type="dxa" w:w="2160"/>
          </w:tcPr>
          <w:p>
            <w:r>
              <w:t>implementation</w:t>
            </w:r>
          </w:p>
        </w:tc>
      </w:tr>
      <w:tr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org.koin:koin-android-viewmodel</w:t>
            </w:r>
          </w:p>
        </w:tc>
        <w:tc>
          <w:tcPr>
            <w:tcW w:type="dxa" w:w="2160"/>
          </w:tcPr>
          <w:p>
            <w:r>
              <w:t>$koin_version</w:t>
            </w:r>
          </w:p>
        </w:tc>
        <w:tc>
          <w:tcPr>
            <w:tcW w:type="dxa" w:w="2160"/>
          </w:tcPr>
          <w:p>
            <w:r>
              <w:t>implementation</w:t>
            </w:r>
          </w:p>
        </w:tc>
      </w:tr>
    </w:tbl>
    <w:p>
      <w:pPr>
        <w:pStyle w:val="Heading1"/>
      </w:pPr>
      <w:r>
        <w:rPr>
          <w:color w:val="1F2E4A"/>
        </w:rPr>
        <w:t>4.1  Excluded Modules</w:t>
      </w:r>
    </w:p>
    <w:p>
      <w:r>
        <w:rPr>
          <w:b/>
          <w:i/>
          <w:color w:val="555555"/>
        </w:rPr>
        <w:t xml:space="preserve">[Sourcing note] </w:t>
      </w:r>
      <w:r>
        <w:rPr>
          <w:i/>
          <w:color w:val="555555"/>
        </w:rPr>
        <w:t>Modules with no production Kotlin source (Gradle-only roots, media-only support bundles, or stub modules with coverage=none) are dropped from the main body. They are listed here for inventory parity only — the JSON artifact still carries their full record for downstream consumers.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Component 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Reason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Files</w:t>
            </w:r>
          </w:p>
        </w:tc>
      </w:tr>
      <w:tr>
        <w:tc>
          <w:tcPr>
            <w:tcW w:type="dxa" w:w="2160"/>
          </w:tcPr>
          <w:p>
            <w:r>
              <w:t>Support Artifacts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Media artifacts only — no code</w:t>
            </w:r>
          </w:p>
        </w:tc>
        <w:tc>
          <w:tcPr>
            <w:tcW w:type="dxa" w:w="2160"/>
          </w:tcPr>
          <w:p>
            <w:r>
              <w:t>73</w:t>
            </w:r>
          </w:p>
        </w:tc>
      </w:tr>
      <w:tr>
        <w:tc>
          <w:tcPr>
            <w:tcW w:type="dxa" w:w="2160"/>
          </w:tcPr>
          <w:p>
            <w:r>
              <w:t>account</w:t>
            </w:r>
          </w:p>
        </w:tc>
        <w:tc>
          <w:tcPr>
            <w:tcW w:type="dxa" w:w="2160"/>
          </w:tcPr>
          <w:p>
            <w:r>
              <w:t>kotlin_android_module</w:t>
            </w:r>
          </w:p>
        </w:tc>
        <w:tc>
          <w:tcPr>
            <w:tcW w:type="dxa" w:w="2160"/>
          </w:tcPr>
          <w:p>
            <w:r>
              <w:t>No production source — analysis not applicable</w:t>
            </w:r>
          </w:p>
        </w:tc>
        <w:tc>
          <w:tcPr>
            <w:tcW w:type="dxa" w:w="2160"/>
          </w:tcPr>
          <w:p>
            <w:r>
              <w:t>20</w:t>
            </w:r>
          </w:p>
        </w:tc>
      </w:tr>
      <w:tr>
        <w:tc>
          <w:tcPr>
            <w:tcW w:type="dxa" w:w="2160"/>
          </w:tcPr>
          <w:p>
            <w:r>
              <w:t>app</w:t>
            </w:r>
          </w:p>
        </w:tc>
        <w:tc>
          <w:tcPr>
            <w:tcW w:type="dxa" w:w="2160"/>
          </w:tcPr>
          <w:p>
            <w:r>
              <w:t>kotlin_android_module</w:t>
            </w:r>
          </w:p>
        </w:tc>
        <w:tc>
          <w:tcPr>
            <w:tcW w:type="dxa" w:w="2160"/>
          </w:tcPr>
          <w:p>
            <w:r>
              <w:t>No production source — analysis not applicable</w:t>
            </w:r>
          </w:p>
        </w:tc>
        <w:tc>
          <w:tcPr>
            <w:tcW w:type="dxa" w:w="2160"/>
          </w:tcPr>
          <w:p>
            <w:r>
              <w:t>7</w:t>
            </w:r>
          </w:p>
        </w:tc>
      </w:tr>
      <w:tr>
        <w:tc>
          <w:tcPr>
            <w:tcW w:type="dxa" w:w="2160"/>
          </w:tcPr>
          <w:p>
            <w:r>
              <w:t>balance</w:t>
            </w:r>
          </w:p>
        </w:tc>
        <w:tc>
          <w:tcPr>
            <w:tcW w:type="dxa" w:w="2160"/>
          </w:tcPr>
          <w:p>
            <w:r>
              <w:t>kotlin_android_module</w:t>
            </w:r>
          </w:p>
        </w:tc>
        <w:tc>
          <w:tcPr>
            <w:tcW w:type="dxa" w:w="2160"/>
          </w:tcPr>
          <w:p>
            <w:r>
              <w:t>No production source — analysis not applicable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kotlin_android_module</w:t>
            </w:r>
          </w:p>
        </w:tc>
        <w:tc>
          <w:tcPr>
            <w:tcW w:type="dxa" w:w="2160"/>
          </w:tcPr>
          <w:p>
            <w:r>
              <w:t>No production source — analysis not applicable</w:t>
            </w:r>
          </w:p>
        </w:tc>
        <w:tc>
          <w:tcPr>
            <w:tcW w:type="dxa" w:w="2160"/>
          </w:tcPr>
          <w:p>
            <w:r>
              <w:t>21</w:t>
            </w:r>
          </w:p>
        </w:tc>
      </w:tr>
      <w:tr>
        <w:tc>
          <w:tcPr>
            <w:tcW w:type="dxa" w:w="2160"/>
          </w:tcPr>
          <w:p>
            <w:r>
              <w:t>network</w:t>
            </w:r>
          </w:p>
        </w:tc>
        <w:tc>
          <w:tcPr>
            <w:tcW w:type="dxa" w:w="2160"/>
          </w:tcPr>
          <w:p>
            <w:r>
              <w:t>kotlin_android_module</w:t>
            </w:r>
          </w:p>
        </w:tc>
        <w:tc>
          <w:tcPr>
            <w:tcW w:type="dxa" w:w="2160"/>
          </w:tcPr>
          <w:p>
            <w:r>
              <w:t>No production source — analysis not applicable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payees</w:t>
            </w:r>
          </w:p>
        </w:tc>
        <w:tc>
          <w:tcPr>
            <w:tcW w:type="dxa" w:w="2160"/>
          </w:tcPr>
          <w:p>
            <w:r>
              <w:t>kotlin_android_module</w:t>
            </w:r>
          </w:p>
        </w:tc>
        <w:tc>
          <w:tcPr>
            <w:tcW w:type="dxa" w:w="2160"/>
          </w:tcPr>
          <w:p>
            <w:r>
              <w:t>No production source — analysis not applicable</w:t>
            </w:r>
          </w:p>
        </w:tc>
        <w:tc>
          <w:tcPr>
            <w:tcW w:type="dxa" w:w="2160"/>
          </w:tcPr>
          <w:p>
            <w:r>
              <w:t>29</w:t>
            </w:r>
          </w:p>
        </w:tc>
      </w:tr>
      <w:tr>
        <w:tc>
          <w:tcPr>
            <w:tcW w:type="dxa" w:w="2160"/>
          </w:tcPr>
          <w:p>
            <w:r>
              <w:t>resources</w:t>
            </w:r>
          </w:p>
        </w:tc>
        <w:tc>
          <w:tcPr>
            <w:tcW w:type="dxa" w:w="2160"/>
          </w:tcPr>
          <w:p>
            <w:r>
              <w:t>kotlin_android_module</w:t>
            </w:r>
          </w:p>
        </w:tc>
        <w:tc>
          <w:tcPr>
            <w:tcW w:type="dxa" w:w="2160"/>
          </w:tcPr>
          <w:p>
            <w:r>
              <w:t>No production source — analysis not applicable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root</w:t>
            </w:r>
          </w:p>
        </w:tc>
        <w:tc>
          <w:tcPr>
            <w:tcW w:type="dxa" w:w="2160"/>
          </w:tcPr>
          <w:p>
            <w:r>
              <w:t>kotlin_module</w:t>
            </w:r>
          </w:p>
        </w:tc>
        <w:tc>
          <w:tcPr>
            <w:tcW w:type="dxa" w:w="2160"/>
          </w:tcPr>
          <w:p>
            <w:r>
              <w:t>Gradle configuration only — no Kotlin classes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</w:tbl>
    <w:p>
      <w:pPr>
        <w:pStyle w:val="Heading1"/>
      </w:pPr>
      <w:r>
        <w:rPr>
          <w:color w:val="1F2E4A"/>
        </w:rPr>
        <w:t>10.  Gap Analysis</w:t>
      </w:r>
    </w:p>
    <w:p>
      <w:r>
        <w:rPr>
          <w:b/>
          <w:i/>
          <w:color w:val="555555"/>
        </w:rPr>
        <w:t xml:space="preserve">[Sourcing note] </w:t>
      </w:r>
      <w:r>
        <w:rPr>
          <w:i/>
          <w:color w:val="555555"/>
        </w:rPr>
        <w:t>Structural gaps surfaced by the deterministic rule set — imports pointing at missing source files (MISSING-*) and DI wiring drift (DI-DRIFT-*). Module-level security gaps live under each module's §4.x.7.</w:t>
      </w:r>
    </w:p>
    <w:p>
      <w:r>
        <w:rPr>
          <w:b w:val="0"/>
          <w:i/>
        </w:rPr>
        <w:t>No structural gaps detected.</w:t>
      </w:r>
    </w:p>
    <w:p>
      <w:pPr>
        <w:pStyle w:val="Heading1"/>
      </w:pPr>
      <w:r>
        <w:rPr>
          <w:color w:val="1F2E4A"/>
        </w:rPr>
        <w:t>11.  8-Dimension Enforcement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960"/>
          </w:tcPr>
          <w:p>
            <w:r>
              <w:rPr>
                <w:b/>
              </w:rPr>
              <w:t>FR24</w:t>
            </w:r>
          </w:p>
        </w:tc>
        <w:tc>
          <w:tcPr>
            <w:tcW w:type="dxa" w:w="960"/>
          </w:tcPr>
          <w:p>
            <w:r>
              <w:rPr>
                <w:b/>
              </w:rPr>
              <w:t>FR25</w:t>
            </w:r>
          </w:p>
        </w:tc>
        <w:tc>
          <w:tcPr>
            <w:tcW w:type="dxa" w:w="960"/>
          </w:tcPr>
          <w:p>
            <w:r>
              <w:rPr>
                <w:b/>
              </w:rPr>
              <w:t>FR26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FR27</w:t>
            </w:r>
          </w:p>
        </w:tc>
        <w:tc>
          <w:tcPr>
            <w:tcW w:type="dxa" w:w="960"/>
          </w:tcPr>
          <w:p>
            <w:r>
              <w:rPr>
                <w:b/>
              </w:rPr>
              <w:t>FR28</w:t>
            </w:r>
          </w:p>
        </w:tc>
        <w:tc>
          <w:tcPr>
            <w:tcW w:type="dxa" w:w="960"/>
          </w:tcPr>
          <w:p>
            <w:r>
              <w:rPr>
                <w:b/>
              </w:rPr>
              <w:t>FR29</w:t>
            </w:r>
          </w:p>
        </w:tc>
        <w:tc>
          <w:tcPr>
            <w:tcW w:type="dxa" w:w="960"/>
          </w:tcPr>
          <w:p>
            <w:r>
              <w:rPr>
                <w:b/>
              </w:rPr>
              <w:t>FR30</w:t>
            </w:r>
          </w:p>
        </w:tc>
        <w:tc>
          <w:tcPr>
            <w:tcW w:type="dxa" w:w="960"/>
          </w:tcPr>
          <w:p>
            <w:r>
              <w:rPr>
                <w:b/>
              </w:rPr>
              <w:t>FR31</w:t>
            </w:r>
          </w:p>
        </w:tc>
      </w:tr>
      <w:tr>
        <w:tc>
          <w:tcPr>
            <w:tcW w:type="dxa" w:w="960"/>
          </w:tcPr>
          <w:p>
            <w:r>
              <w:t>Support Artifacts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  <w:tr>
        <w:tc>
          <w:tcPr>
            <w:tcW w:type="dxa" w:w="960"/>
          </w:tcPr>
          <w:p>
            <w:r>
              <w:t>account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  <w:tr>
        <w:tc>
          <w:tcPr>
            <w:tcW w:type="dxa" w:w="960"/>
          </w:tcPr>
          <w:p>
            <w:r>
              <w:t>app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  <w:tr>
        <w:tc>
          <w:tcPr>
            <w:tcW w:type="dxa" w:w="960"/>
          </w:tcPr>
          <w:p>
            <w:r>
              <w:t>balance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  <w:tr>
        <w:tc>
          <w:tcPr>
            <w:tcW w:type="dxa" w:w="960"/>
          </w:tcPr>
          <w:p>
            <w:r>
              <w:t>dashboard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  <w:tr>
        <w:tc>
          <w:tcPr>
            <w:tcW w:type="dxa" w:w="960"/>
          </w:tcPr>
          <w:p>
            <w:r>
              <w:t>network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  <w:tr>
        <w:tc>
          <w:tcPr>
            <w:tcW w:type="dxa" w:w="960"/>
          </w:tcPr>
          <w:p>
            <w:r>
              <w:t>payees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  <w:tr>
        <w:tc>
          <w:tcPr>
            <w:tcW w:type="dxa" w:w="960"/>
          </w:tcPr>
          <w:p>
            <w:r>
              <w:t>resources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  <w:tr>
        <w:tc>
          <w:tcPr>
            <w:tcW w:type="dxa" w:w="960"/>
          </w:tcPr>
          <w:p>
            <w:r>
              <w:t>root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capability_brd_v2 — compliance: IEEE 29148:2018</dc:subject>
  <dc:creator>python-docx</dc:creator>
  <cp:keywords>IEEE 29148:2018 §9.5.5.1, IEEE 29148:2018 §9.5.5.2, IEEE 29148:2018 §9.5.5.3, IEEE 29148:2018 §9.5.5.4, IEEE 29148:2018 §9.5.5.5, IEEE 29148:2018 §9.5.5.6</cp:keywords>
  <dc:description>Synthetix IEEE compliance: IEEE 29148:2018. 7 sections mapped, 6 distinct clauses. Advisory; formal conformance is the auditor's responsibility.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ynthetixIEEEStandards">
    <vt:lpwstr>IEEE 29148:2018</vt:lpwstr>
  </property>
  <property fmtid="{D5CDD505-2E9C-101B-9397-08002B2CF9AE}" pid="3" name="SynthetixIEEEClauseCount">
    <vt:lpwstr>6</vt:lpwstr>
  </property>
  <property fmtid="{D5CDD505-2E9C-101B-9397-08002B2CF9AE}" pid="4" name="SynthetixIEEESectionCount">
    <vt:lpwstr>7</vt:lpwstr>
  </property>
  <property fmtid="{D5CDD505-2E9C-101B-9397-08002B2CF9AE}" pid="5" name="SynthetixIEEEStampedAt">
    <vt:lpwstr>2026-04-22T14:15:45Z</vt:lpwstr>
  </property>
  <property fmtid="{D5CDD505-2E9C-101B-9397-08002B2CF9AE}" pid="6" name="SynthetixArtifactType">
    <vt:lpwstr>capability_brd_v2</vt:lpwstr>
  </property>
</Properties>
</file>