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Legacy Modernization Scope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Legacy Modernization Scope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FR-AUTO-001 — Implement API Platform workflow contract (P1)</w:t>
      </w:r>
    </w:p>
    <w:p>
      <w:pPr>
        <w:spacing w:after="80" w:before="80"/>
      </w:pPr>
      <w:r>
        <w:rPr>
          <w:sz w:val="22"/>
          <w:szCs w:val="22"/>
        </w:rPr>
        <w:t xml:space="preserve">Implement deterministic workflow behavior for API Platform with explicit input/output and error contracts.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FR-AUTO-002 — Implement Data workflow contract (P1)</w:t>
      </w:r>
    </w:p>
    <w:p>
      <w:pPr>
        <w:spacing w:after="80" w:before="80"/>
      </w:pPr>
      <w:r>
        <w:rPr>
          <w:sz w:val="22"/>
          <w:szCs w:val="22"/>
        </w:rPr>
        <w:t xml:space="preserve">Implement deterministic workflow behavior for Data with explicit input/output and error contracts.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FR-AUTO-003 — Extend API Platform workflow — phase 2 (P1)</w:t>
      </w:r>
    </w:p>
    <w:p>
      <w:pPr>
        <w:spacing w:after="80" w:before="80"/>
      </w:pPr>
      <w:r>
        <w:rPr>
          <w:sz w:val="22"/>
          <w:szCs w:val="22"/>
        </w:rPr>
        <w:t xml:space="preserve">Extend the API Platform workflow with additional coverage scenarios (phase 2).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FR-AUTO-004 — Extend Data workflow — phase 2 (P1)</w:t>
      </w:r>
    </w:p>
    <w:p>
      <w:pPr>
        <w:spacing w:after="80" w:before="80"/>
      </w:pPr>
      <w:r>
        <w:rPr>
          <w:sz w:val="22"/>
          <w:szCs w:val="22"/>
        </w:rPr>
        <w:t xml:space="preserve">Extend the Data workflow with additional coverage scenarios (phase 2).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FR-AUTO-005 — Extend API Platform workflow — phase 3 (P1)</w:t>
      </w:r>
    </w:p>
    <w:p>
      <w:pPr>
        <w:spacing w:after="80" w:before="80"/>
      </w:pPr>
      <w:r>
        <w:rPr>
          <w:sz w:val="22"/>
          <w:szCs w:val="22"/>
        </w:rPr>
        <w:t xml:space="preserve">Extend the API Platform workflow with additional coverage scenarios (phase 3).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FR-AUTO-006 — Extend Data workflow — phase 3 (P1)</w:t>
      </w:r>
    </w:p>
    <w:p>
      <w:pPr>
        <w:spacing w:after="80" w:before="80"/>
      </w:pPr>
      <w:r>
        <w:rPr>
          <w:sz w:val="22"/>
          <w:szCs w:val="22"/>
        </w:rPr>
        <w:t xml:space="preserve">Extend the Data workflow with additional coverage scenarios (phase 3).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FR-AUTO-006: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FR-AUTO-006: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FR-AUTO-006: Error paths are captured with actionable diagnostics.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Auditability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NFR-AUTO-001: Metric is continuously measured in CI/CD or runtime dashboards.; NFR-AUTO-001: Threshold breach triggers alerting and remediation workflow.; NFR-AUTO-001: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NFR-AUTO-002: Metric is continuously measured in CI/CD or runtime dashboards.; NFR-AUTO-002: Threshold breach triggers alerting and remediation workflow.; NFR-AUTO-002: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parity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NFR-AUTO-003: Metric is continuously measured in CI/CD or runtime dashboards.; NFR-AUTO-003: Threshold breach triggers alerting and remediation workflow.; NFR-AUTO-003: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Operational 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NFR-AUTO-004: Metric is continuously measured in CI/CD or runtime dashboards.; NFR-AUTO-004: Threshold breach triggers alerting and remediation workflow.; NFR-AUTO-004: Compliance evidence is retained for release review.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primary Analyst LLM response could not be parsed into valid JSON, so Synthetix compiled the requirements pack from 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the generated artifacts and rerun with a stricter output contract if additional narrative depth is required.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2026-05-13T10:14:20.460Z</dcterms:created>
  <dcterms:modified xsi:type="dcterms:W3CDTF">2026-05-13T10:14:20.460Z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