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Contractor Modernization Workbook</w:t>
            </w:r>
          </w:p>
        </w:tc>
      </w:tr>
    </w:tbl>
    <w:p>
      <w:r>
        <w:rPr>
          <w:b/>
          <w:color w:val="1F6B75"/>
          <w:sz w:val="26"/>
        </w:rPr>
        <w:t>MagicBox Contractor Modernization</w:t>
      </w:r>
    </w:p>
    <w:p>
      <w:r>
        <w:rPr>
          <w:b w:val="0"/>
          <w:color w:val="111827"/>
          <w:sz w:val="20"/>
        </w:rPr>
        <w:t>Guidance for modernizing the contractor management system using .NET API integration.</w:t>
      </w:r>
    </w:p>
    <w:p>
      <w:r>
        <w:rPr>
          <w:b w:val="0"/>
          <w:color w:val="6B7280"/>
          <w:sz w:val="18"/>
        </w:rPr>
        <w:t>Run 20260512_195134_0615fae0  ·  Generated 2026-05-12T19:52:10.872822+00:00  ·  Repo app</w:t>
      </w:r>
    </w:p>
    <w:p/>
    <w:p>
      <w:pPr>
        <w:pStyle w:val="Heading1"/>
      </w:pPr>
      <w:r>
        <w:t>Executive Snapshot</w:t>
      </w:r>
    </w:p>
    <w:p>
      <w:r>
        <w:rPr>
          <w:b w:val="0"/>
          <w:color w:val="6B7280"/>
          <w:sz w:val="18"/>
        </w:rPr>
        <w:t>Overview of modernization objectives and strategic approach.</w:t>
      </w:r>
    </w:p>
    <w:p>
      <w:r>
        <w:rPr>
          <w:b/>
          <w:color w:val="2E75B6"/>
          <w:sz w:val="20"/>
        </w:rPr>
        <w:t xml:space="preserve">Objective: </w:t>
      </w:r>
      <w:r>
        <w:rPr>
          <w:b w:val="0"/>
          <w:color w:val="111827"/>
          <w:sz w:val="20"/>
        </w:rPr>
        <w:t>Modernize the contractor management system by integrating the UI with the .NET API endpoint and ensuring all validators are implemented.</w:t>
      </w:r>
    </w:p>
    <w:p>
      <w:r>
        <w:rPr>
          <w:b/>
          <w:color w:val="2E75B6"/>
          <w:sz w:val="20"/>
        </w:rPr>
        <w:t xml:space="preserve">Summary: </w:t>
      </w:r>
      <w:r>
        <w:rPr>
          <w:b w:val="0"/>
          <w:color w:val="111827"/>
          <w:sz w:val="20"/>
        </w:rPr>
        <w:t>Strangler Fig Pattern recommended.</w:t>
      </w:r>
    </w:p>
    <w:p>
      <w:r>
        <w:rPr>
          <w:b w:val="0"/>
          <w:color w:val="111827"/>
          <w:sz w:val="20"/>
        </w:rPr>
        <w:t>The MagicBox Contractor Modernization project aims to enhance the contractor management system by integrating the user interface with the .NET API endpoint. This initiative ensures all validators are implemented effectively. Utilizing the Strangler Fig Pattern, the project will gradually replace legacy components with new .NET services. The strategy involves three phases: capturing baseline outputs, migrating forms with risk controls, and finalizing quality gates for release.</w:t>
      </w:r>
    </w:p>
    <w:p>
      <w:pPr>
        <w:pStyle w:val="ListParagraph"/>
      </w:pPr>
      <w:r>
        <w:rPr>
          <w:b w:val="0"/>
          <w:color w:val="111827"/>
          <w:sz w:val="18"/>
        </w:rPr>
        <w:t>- Objective: Integrate UI with .NET API and implement validators.</w:t>
      </w:r>
    </w:p>
    <w:p>
      <w:pPr>
        <w:pStyle w:val="ListParagraph"/>
      </w:pPr>
      <w:r>
        <w:rPr>
          <w:b w:val="0"/>
          <w:color w:val="111827"/>
          <w:sz w:val="18"/>
        </w:rPr>
        <w:t>- Strategy: Strangler Fig Pattern for gradual component replacement.</w:t>
      </w:r>
    </w:p>
    <w:p>
      <w:pPr>
        <w:pStyle w:val="ListParagraph"/>
      </w:pPr>
      <w:r>
        <w:rPr>
          <w:b w:val="0"/>
          <w:color w:val="111827"/>
          <w:sz w:val="18"/>
        </w:rPr>
        <w:t>- Phases: Baseline capture, incremental migration, and hardening.</w:t>
      </w:r>
    </w:p>
    <w:p>
      <w:pPr>
        <w:pStyle w:val="ListParagraph"/>
      </w:pPr>
      <w:r>
        <w:rPr>
          <w:b w:val="0"/>
          <w:color w:val="111827"/>
          <w:sz w:val="18"/>
        </w:rPr>
        <w:t>- Risk Tier: High, with a readiness score of 0.</w:t>
      </w:r>
    </w:p>
    <w:p>
      <w:pPr>
        <w:pStyle w:val="ListParagraph"/>
      </w:pPr>
      <w:r>
        <w:rPr>
          <w:b w:val="0"/>
          <w:color w:val="111827"/>
          <w:sz w:val="18"/>
        </w:rPr>
        <w:t>- No current projects, forms, or dependencies in inventory.</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Alert: </w:t>
      </w:r>
      <w:r>
        <w:rPr>
          <w:b w:val="0"/>
          <w:color w:val="111827"/>
          <w:sz w:val="18"/>
        </w:rPr>
        <w:t>High risk tier due to zero readiness score.</w:t>
      </w:r>
    </w:p>
    <w:p>
      <w:pPr>
        <w:pStyle w:val="Heading2"/>
      </w:pPr>
      <w:r>
        <w:t>Recommended Modernization Strategy</w:t>
      </w:r>
    </w:p>
    <w:p>
      <w:r>
        <w:rPr>
          <w:b/>
          <w:color w:val="1F6B75"/>
          <w:sz w:val="20"/>
        </w:rPr>
        <w:t xml:space="preserve">Strangler Fig Pattern: </w:t>
      </w:r>
      <w:r>
        <w:rPr>
          <w:b w:val="0"/>
          <w:color w:val="111827"/>
          <w:sz w:val="20"/>
        </w:rPr>
        <w:t>Allows gradual replacement of legacy components with new .NET services.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(5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Contractor Management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Identify and manage dependencies for seamless integration.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Documentation of forms to be migrated and their current state.</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Contractor Management</w:t>
            </w:r>
          </w:p>
        </w:tc>
        <w:tc>
          <w:tcPr>
            <w:tcW w:type="dxa" w:w="1680"/>
          </w:tcPr>
          <w:p>
            <w:r/>
            <w:r>
              <w:rPr>
                <w:b w:val="0"/>
                <w:color w:val="111827"/>
                <w:sz w:val="16"/>
              </w:rPr>
              <w:t>Presentation</w:t>
            </w:r>
          </w:p>
        </w:tc>
        <w:tc>
          <w:tcPr>
            <w:tcW w:type="dxa" w:w="1680"/>
          </w:tcPr>
          <w:p>
            <w:r/>
            <w:r>
              <w:rPr>
                <w:b w:val="0"/>
                <w:color w:val="111827"/>
                <w:sz w:val="16"/>
              </w:rPr>
              <w:t>input_validation</w:t>
            </w:r>
          </w:p>
        </w:tc>
        <w:tc>
          <w:tcPr>
            <w:tcW w:type="dxa" w:w="1680"/>
          </w:tcPr>
          <w:p>
            <w:r/>
            <w:r>
              <w:rPr>
                <w:b w:val="0"/>
                <w:color w:val="111827"/>
                <w:sz w:val="16"/>
              </w:rPr>
              <w:t>Contractor data must be validated before submission.</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and analyze golden flows for baseline outputs.</w:t>
      </w:r>
    </w:p>
    <w:p>
      <w:r>
        <w:br w:type="page"/>
      </w:r>
    </w:p>
    <w:p>
      <w:pPr>
        <w:pStyle w:val="Heading1"/>
      </w:pPr>
      <w:r>
        <w:t>Section Q - Form Traceability Matrix</w:t>
      </w:r>
    </w:p>
    <w:p>
      <w:r>
        <w:rPr>
          <w:b w:val="0"/>
          <w:color w:val="6B7280"/>
          <w:sz w:val="18"/>
        </w:rPr>
        <w:t>Ensure traceability of changes throughout the modernization process.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 cycles for incremental migration and testing.</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Assessment of risks and mitigation strategies for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Incomplete validator implementation may lead to data integrity issues.</w:t>
            </w:r>
          </w:p>
        </w:tc>
        <w:tc>
          <w:tcPr>
            <w:tcW w:type="dxa" w:w="2520"/>
          </w:tcPr>
          <w:p>
            <w:r/>
            <w:r>
              <w:rPr>
                <w:b w:val="0"/>
                <w:color w:val="111827"/>
                <w:sz w:val="16"/>
              </w:rPr>
              <w:t>Conduct a thorough review of all validators and ensure comprehensive testing.</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API integration may introduce security vulnerabilities.</w:t>
            </w:r>
          </w:p>
        </w:tc>
        <w:tc>
          <w:tcPr>
            <w:tcW w:type="dxa" w:w="2520"/>
            <w:shd w:val="clear" w:color="auto" w:fill="F3F4F6"/>
          </w:tcPr>
          <w:p>
            <w:r/>
            <w:r>
              <w:rPr>
                <w:b w:val="0"/>
                <w:color w:val="111827"/>
                <w:sz w:val="16"/>
              </w:rPr>
              <w:t>Perform security audits and penetration testing.</w:t>
            </w:r>
          </w:p>
        </w:tc>
      </w:tr>
      <w:tr>
        <w:tc>
          <w:tcPr>
            <w:tcW w:type="dxa" w:w="2520"/>
          </w:tcPr>
          <w:p>
            <w:r/>
            <w:r>
              <w:rPr>
                <w:b w:val="0"/>
                <w:color w:val="111827"/>
                <w:sz w:val="16"/>
              </w:rPr>
              <w:t>RISK-3</w:t>
            </w:r>
          </w:p>
        </w:tc>
        <w:tc>
          <w:tcPr>
            <w:tcW w:type="dxa" w:w="2520"/>
            <w:shd w:val="clear" w:color="auto" w:fill="FEF3C7"/>
          </w:tcPr>
          <w:p>
            <w:r/>
            <w:r>
              <w:rPr>
                <w:b w:val="0"/>
                <w:color w:val="111827"/>
                <w:sz w:val="16"/>
              </w:rPr>
              <w:t>MEDIUM</w:t>
            </w:r>
          </w:p>
        </w:tc>
        <w:tc>
          <w:tcPr>
            <w:tcW w:type="dxa" w:w="2520"/>
          </w:tcPr>
          <w:p>
            <w:r/>
            <w:r>
              <w:rPr>
                <w:b w:val="0"/>
                <w:color w:val="111827"/>
                <w:sz w:val="16"/>
              </w:rPr>
              <w:t>Performance issues due to increased load on the new API.</w:t>
            </w:r>
          </w:p>
        </w:tc>
        <w:tc>
          <w:tcPr>
            <w:tcW w:type="dxa" w:w="2520"/>
          </w:tcPr>
          <w:p>
            <w:r/>
            <w:r>
              <w:rPr>
                <w:b w:val="0"/>
                <w:color w:val="111827"/>
                <w:sz w:val="16"/>
              </w:rPr>
              <w:t>Conduct load testing and optimize API performance.</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artifact://legacy_inventory/1.0/art_legacy_inventory_81aa643d95fb4442</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artifact://repo_landscape/1.0/art_repo_landscape_6a5707c73f4f4b23</w:t>
            </w:r>
          </w:p>
        </w:tc>
      </w:tr>
      <w:tr>
        <w:tc>
          <w:tcPr>
            <w:tcW w:type="dxa" w:w="5040"/>
          </w:tcPr>
          <w:p>
            <w:r/>
            <w:r>
              <w:rPr>
                <w:b w:val="0"/>
                <w:color w:val="111827"/>
                <w:sz w:val="16"/>
              </w:rPr>
              <w:t>scope_lock_ref</w:t>
            </w:r>
          </w:p>
        </w:tc>
        <w:tc>
          <w:tcPr>
            <w:tcW w:type="dxa" w:w="5040"/>
          </w:tcPr>
          <w:p>
            <w:r/>
            <w:r>
              <w:rPr>
                <w:b w:val="0"/>
                <w:color w:val="111827"/>
                <w:sz w:val="16"/>
              </w:rPr>
              <w:t>artifact://scope_lock/1.0/art_scope_lock_e68f866362eb4f27</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artifact://variant_inventory/1.0/art_variant_inventory_1aba19b8541847cb</w:t>
            </w:r>
          </w:p>
        </w:tc>
      </w:tr>
      <w:tr>
        <w:tc>
          <w:tcPr>
            <w:tcW w:type="dxa" w:w="5040"/>
          </w:tcPr>
          <w:p>
            <w:r/>
            <w:r>
              <w:rPr>
                <w:b w:val="0"/>
                <w:color w:val="111827"/>
                <w:sz w:val="16"/>
              </w:rPr>
              <w:t>event_map_ref</w:t>
            </w:r>
          </w:p>
        </w:tc>
        <w:tc>
          <w:tcPr>
            <w:tcW w:type="dxa" w:w="5040"/>
          </w:tcPr>
          <w:p>
            <w:r/>
            <w:r>
              <w:rPr>
                <w:b w:val="0"/>
                <w:color w:val="111827"/>
                <w:sz w:val="16"/>
              </w:rPr>
              <w:t>artifact://event_map/1.0/art_event_map_679cb7bfe89e4143</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artifact://sql_catalog/1.0/art_sql_catalog_25cc7abd7f2b4cf1</w:t>
            </w:r>
          </w:p>
        </w:tc>
      </w:tr>
      <w:tr>
        <w:tc>
          <w:tcPr>
            <w:tcW w:type="dxa" w:w="5040"/>
          </w:tcPr>
          <w:p>
            <w:r/>
            <w:r>
              <w:rPr>
                <w:b w:val="0"/>
                <w:color w:val="111827"/>
                <w:sz w:val="16"/>
              </w:rPr>
              <w:t>sql_map_ref</w:t>
            </w:r>
          </w:p>
        </w:tc>
        <w:tc>
          <w:tcPr>
            <w:tcW w:type="dxa" w:w="5040"/>
          </w:tcPr>
          <w:p>
            <w:r/>
            <w:r>
              <w:rPr>
                <w:b w:val="0"/>
                <w:color w:val="111827"/>
                <w:sz w:val="16"/>
              </w:rPr>
              <w:t>artifact://sql_map/1.0/art_sql_map_0e904c10e2fa45b0</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artifact://data_access_map/1.0/art_data_access_map_448b57532e1541a0</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artifact://recordset_ops/1.0/art_recordset_ops_e30c1818d91e4ab1</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artifact://procedure_summary/1.0/art_procedure_summary_884c8672cc704898</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artifact://form_dossier/1.0/art_form_dossier_c3544ebbba544203</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artifact://dependency_inventory/1.0/art_dependency_inventory_be9a4ccd1a1e4913</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artifact://dependency_inventory/1.0/art_dependency_inventory_be9a4ccd1a1e4913</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artifact://business_rule_catalog/1.0/art_business_rule_catalog_8c408ca7cea9488d</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artifact://detector_findings/1.0/art_detector_findings_a31d158f512d4b78</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artifact://risk_register/1.0/art_risk_register_5d79bb42562c455d</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artifact://orphan_analysis/1.0/art_orphan_analysis_44b92683aa1845f5</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artifact://delivery_constitution/1.0/art_delivery_constitution_d6debade567f4379</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artifact://variant_diff_report/1.0/art_variant_diff_report_cb4099d63c0b4b2e</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artifact://reporting_model/1.0/art_reporting_model_c5f192a4a2794520</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artifact://identity_access_model/1.0/art_identity_access_model_276637d4c5204679</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artifact://discover_review_checklist/1.0/art_discover_review_checklist_45c2ffbcca794eb0</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artifact://artifact_index/1.0/art_artifact_index_6fd2a70fc91144ae</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runctx://runctx-bac6b3bdbb7921ac/kctx-9902e42d32f8c0bb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runctx://runctx-bac6b3bdbb7921ac/delivery_constitution/const-8bdf0bc1ad13</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