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Code Modernization Workbook</w:t>
            </w:r>
          </w:p>
        </w:tc>
      </w:tr>
    </w:tbl>
    <w:p>
      <w:r>
        <w:rPr>
          <w:b/>
          <w:color w:val="1F6B75"/>
          <w:sz w:val="26"/>
        </w:rPr>
        <w:t>MagicBox Code Modernization</w:t>
      </w:r>
    </w:p>
    <w:p>
      <w:r>
        <w:rPr>
          <w:b w:val="0"/>
          <w:color w:val="111827"/>
          <w:sz w:val="20"/>
        </w:rPr>
        <w:t>Ensuring seamless integration and translation across key components.</w:t>
      </w:r>
    </w:p>
    <w:p>
      <w:r>
        <w:rPr>
          <w:b w:val="0"/>
          <w:color w:val="6B7280"/>
          <w:sz w:val="18"/>
        </w:rPr>
        <w:t>Run 20260515_192945_ce648068  ·  Generated 2026-05-15T23:30:27.676734+00:00  ·  Repo Synthetix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project, objectives,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Verify that the ECA intake_documents flow correctly into the Architect, DP, UI-Scaffold, and Translator components, and translate 15 methods across selected components without filtering modules.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Full upgrade / translation + remediation recommended.</w:t>
      </w:r>
    </w:p>
    <w:p>
      <w:r>
        <w:rPr>
          <w:b w:val="0"/>
          <w:color w:val="111827"/>
          <w:sz w:val="20"/>
        </w:rPr>
        <w:t>The MagicBox Code Modernization project aims to verify the correct flow of ECA intake_documents into critical components such as Architect, DP, UI-Scaffold, and Translator. The project will translate 15 methods across selected components without filtering modules, leveraging the Synthetix repository. With a readiness score of 45 and a medium risk tier, the strategy involves a full upgrade, translation, and remediation approach. This includes capturing golden flows, migrating forms with risk controls, and finalizing quality gates to ensure a successful modernization.</w:t>
      </w:r>
    </w:p>
    <w:p>
      <w:pPr>
        <w:pStyle w:val="ListParagraph"/>
      </w:pPr>
      <w:r>
        <w:rPr>
          <w:b w:val="0"/>
          <w:color w:val="111827"/>
          <w:sz w:val="18"/>
        </w:rPr>
        <w:t>- Verify ECA intake_documents flow into key components.</w:t>
      </w:r>
    </w:p>
    <w:p>
      <w:pPr>
        <w:pStyle w:val="ListParagraph"/>
      </w:pPr>
      <w:r>
        <w:rPr>
          <w:b w:val="0"/>
          <w:color w:val="111827"/>
          <w:sz w:val="18"/>
        </w:rPr>
        <w:t>- Translate 15 methods without filtering modules.</w:t>
      </w:r>
    </w:p>
    <w:p>
      <w:pPr>
        <w:pStyle w:val="ListParagraph"/>
      </w:pPr>
      <w:r>
        <w:rPr>
          <w:b w:val="0"/>
          <w:color w:val="111827"/>
          <w:sz w:val="18"/>
        </w:rPr>
        <w:t>- Leverage Synthetix repository for modernization.</w:t>
      </w:r>
    </w:p>
    <w:p>
      <w:pPr>
        <w:pStyle w:val="ListParagraph"/>
      </w:pPr>
      <w:r>
        <w:rPr>
          <w:b w:val="0"/>
          <w:color w:val="111827"/>
          <w:sz w:val="18"/>
        </w:rPr>
        <w:t>- Readiness score of 45 with medium risk tier.</w:t>
      </w:r>
    </w:p>
    <w:p>
      <w:pPr>
        <w:pStyle w:val="ListParagraph"/>
      </w:pPr>
      <w:r>
        <w:rPr>
          <w:b w:val="0"/>
          <w:color w:val="111827"/>
          <w:sz w:val="18"/>
        </w:rPr>
        <w:t>- Strategy: Full upgrade, translation, remediation.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hardening.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45/100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Current readiness score is 45, indicating moderate preparedness.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Full upgrade / translation + remediation: </w:t>
      </w:r>
      <w:r>
        <w:rPr>
          <w:b w:val="0"/>
          <w:color w:val="111827"/>
          <w:sz w:val="20"/>
        </w:rPr>
        <w:t>High readiness with controlled translation and remediation.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Staffing &amp; Recruitment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dependencies to ensure seamless integration and risk management.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analysis of forms to be migrated and modernized.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Staffing &amp; Recruitment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 must be approved by office co-approver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Capturing and analyzing golden flows for baseline outputs.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across components and modernization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Structured sprints for incremental migration and dependency replacement.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Identifying and mitigating risks associated with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integration issues with new components.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Conduct thorough integration testing and validation.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degradation under load.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Implement performance monitoring and optimization strategies.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artifact://legacy_inventory/1.0/art_legacy_inventory_510aad798d8e4d9c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artifact://repo_landscape/1.0/art_repo_landscape_b22c4af884444c10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artifact://scope_lock/1.0/art_scope_lock_4e059254325b4b64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artifact://variant_inventory/1.0/art_variant_inventory_dde2ce7801c146f1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artifact://event_map/1.0/art_event_map_4770bbc3923f4a56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artifact://sql_catalog/1.0/art_sql_catalog_66e78b439d094b85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artifact://sql_map/1.0/art_sql_map_848f99f5a7cb4ed7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artifact://data_access_map/1.0/art_data_access_map_ea2bf68de1334fce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artifact://recordset_ops/1.0/art_recordset_ops_10967ba87584419c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artifact://procedure_summary/1.0/art_procedure_summary_39236264a56e4055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artifact://form_dossier/1.0/art_form_dossier_c3385cfb718b424a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artifact://dependency_inventory/1.0/art_dependency_inventory_cd024dfba80749ff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artifact://dependency_inventory/1.0/art_dependency_inventory_cd024dfba80749ff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artifact://business_rule_catalog/1.0/art_business_rule_catalog_959612253c434c90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artifact://detector_findings/1.0/art_detector_findings_ac3fb65dd5104526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artifact://risk_register/1.0/art_risk_register_0a48e86f8fa44dfb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artifact://orphan_analysis/1.0/art_orphan_analysis_8f1bc96d694942a8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artifact://delivery_constitution/1.0/art_delivery_constitution_7b0b6a0edf7645cd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artifact://variant_diff_report/1.0/art_variant_diff_report_00ac1bcde92e4c87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artifact://reporting_model/1.0/art_reporting_model_13a971eafccd4d3c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artifact://identity_access_model/1.0/art_identity_access_model_9fe53468f37845fc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artifact://discover_review_checklist/1.0/art_discover_review_checklist_1a2c1424c23446c0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artifact://artifact_index/1.0/art_artifact_index_8c2d6b1c9fc84d46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runctx://runctx-fe96b442ff25b04b/kctx-6c852fcceab50a55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runctx://runctx-fe96b442ff25b04b/delivery_constitution/const-95796d78ffd6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