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Service Name Modernization Workbook</w:t>
            </w:r>
          </w:p>
        </w:tc>
      </w:tr>
    </w:tbl>
    <w:p>
      <w:r>
        <w:rPr>
          <w:b/>
          <w:color w:val="1F6B75"/>
          <w:sz w:val="26"/>
        </w:rPr>
        <w:t>MagicBox Service Name Modernization</w:t>
      </w:r>
    </w:p>
    <w:p>
      <w:r>
        <w:rPr>
          <w:b w:val="0"/>
          <w:color w:val="111827"/>
          <w:sz w:val="20"/>
        </w:rPr>
        <w:t>A comprehensive guide to modernizing service names using canonical architecture.</w:t>
      </w:r>
    </w:p>
    <w:p>
      <w:r>
        <w:rPr>
          <w:b w:val="0"/>
          <w:color w:val="6B7280"/>
          <w:sz w:val="18"/>
        </w:rPr>
        <w:t>Run 20260512_183326_f1e4414d  ·  Generated 2026-05-12T18:34:11.692586+00:00  ·  Repo app</w:t>
      </w:r>
    </w:p>
    <w:p/>
    <w:p>
      <w:pPr>
        <w:pStyle w:val="Heading1"/>
      </w:pPr>
      <w:r>
        <w:t>Executive Snapshot</w:t>
      </w:r>
    </w:p>
    <w:p>
      <w:r>
        <w:rPr>
          <w:b w:val="0"/>
          <w:color w:val="6B7280"/>
          <w:sz w:val="18"/>
        </w:rPr>
        <w:t>Overview of the modernization project, objectives, and strategic approach.</w:t>
      </w:r>
    </w:p>
    <w:p>
      <w:r>
        <w:rPr>
          <w:b/>
          <w:color w:val="2E75B6"/>
          <w:sz w:val="20"/>
        </w:rPr>
        <w:t xml:space="preserve">Objective: </w:t>
      </w:r>
      <w:r>
        <w:rPr>
          <w:b w:val="0"/>
          <w:color w:val="111827"/>
          <w:sz w:val="20"/>
        </w:rPr>
        <w:t>Ensure that the ARCH-V21 and ARCH-V18 fixes are implemented correctly, focusing on the use of canonical-only architect_service_names.</w:t>
      </w:r>
    </w:p>
    <w:p>
      <w:r>
        <w:rPr>
          <w:b/>
          <w:color w:val="2E75B6"/>
          <w:sz w:val="20"/>
        </w:rPr>
        <w:t xml:space="preserve">Summary: </w:t>
      </w:r>
      <w:r>
        <w:rPr>
          <w:b w:val="0"/>
          <w:color w:val="111827"/>
          <w:sz w:val="20"/>
        </w:rPr>
        <w:t>Strangler Fig Pattern recommended.</w:t>
      </w:r>
    </w:p>
    <w:p>
      <w:r>
        <w:rPr>
          <w:b w:val="0"/>
          <w:color w:val="111827"/>
          <w:sz w:val="20"/>
        </w:rPr>
        <w:t>The MagicBox Service Name Modernization project aims to ensure the correct implementation of ARCH-V21 and ARCH-V18 fixes, focusing on canonical-only architect_service_names. Utilizing the Strangler Fig Pattern, the project will transition to new compliance mechanisms gradually, minimizing disruption. The strategy involves capturing baseline outputs, migrating with risk controls, and finalizing quality gates. Despite a high-risk tier and zero readiness score, the project is structured to address these challenges effectively.</w:t>
      </w:r>
    </w:p>
    <w:p>
      <w:pPr>
        <w:pStyle w:val="ListParagraph"/>
      </w:pPr>
      <w:r>
        <w:rPr>
          <w:b w:val="0"/>
          <w:color w:val="111827"/>
          <w:sz w:val="18"/>
        </w:rPr>
        <w:t>- Implement ARCH-V21 and ARCH-V18 fixes with canonical service names.</w:t>
      </w:r>
    </w:p>
    <w:p>
      <w:pPr>
        <w:pStyle w:val="ListParagraph"/>
      </w:pPr>
      <w:r>
        <w:rPr>
          <w:b w:val="0"/>
          <w:color w:val="111827"/>
          <w:sz w:val="18"/>
        </w:rPr>
        <w:t>- Adopt the Strangler Fig Pattern for a smooth transition.</w:t>
      </w:r>
    </w:p>
    <w:p>
      <w:pPr>
        <w:pStyle w:val="ListParagraph"/>
      </w:pPr>
      <w:r>
        <w:rPr>
          <w:b w:val="0"/>
          <w:color w:val="111827"/>
          <w:sz w:val="18"/>
        </w:rPr>
        <w:t>- Focus on minimizing disruption to existing services.</w:t>
      </w:r>
    </w:p>
    <w:p>
      <w:pPr>
        <w:pStyle w:val="ListParagraph"/>
      </w:pPr>
      <w:r>
        <w:rPr>
          <w:b w:val="0"/>
          <w:color w:val="111827"/>
          <w:sz w:val="18"/>
        </w:rPr>
        <w:t>- Ensure migration includes robust dependency risk controls.</w:t>
      </w:r>
    </w:p>
    <w:p>
      <w:pPr>
        <w:pStyle w:val="ListParagraph"/>
      </w:pPr>
      <w:r>
        <w:rPr>
          <w:b w:val="0"/>
          <w:color w:val="111827"/>
          <w:sz w:val="18"/>
        </w:rPr>
        <w:t>- Finalize quality gates and publish evidence packs.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Tier: </w:t>
      </w:r>
      <w:r>
        <w:rPr>
          <w:b w:val="0"/>
          <w:color w:val="111827"/>
          <w:sz w:val="18"/>
        </w:rPr>
        <w:t>The project is classified as high risk.</w:t>
      </w:r>
    </w:p>
    <w:p>
      <w:pPr>
        <w:pStyle w:val="Heading2"/>
      </w:pPr>
      <w:r>
        <w:t>Recommended Modernization Strategy</w:t>
      </w:r>
    </w:p>
    <w:p>
      <w:r>
        <w:rPr>
          <w:b/>
          <w:color w:val="1F6B75"/>
          <w:sz w:val="20"/>
        </w:rPr>
        <w:t xml:space="preserve">Strangler Fig Pattern: </w:t>
      </w:r>
      <w:r>
        <w:rPr>
          <w:b w:val="0"/>
          <w:color w:val="111827"/>
          <w:sz w:val="20"/>
        </w:rPr>
        <w:t>Allows gradual transition to new compliance mechanisms without disrupting existing services.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(10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Service Compliance</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Detailed mapping of dependencies to manage migration risks effectively.</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Comprehensive dossiers on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format</w:t>
            </w:r>
          </w:p>
        </w:tc>
        <w:tc>
          <w:tcPr>
            <w:tcW w:type="dxa" w:w="1680"/>
          </w:tcPr>
          <w:p>
            <w:r/>
            <w:r>
              <w:rPr>
                <w:b w:val="0"/>
                <w:color w:val="111827"/>
                <w:sz w:val="16"/>
              </w:rPr>
              <w:t>Presentation</w:t>
            </w:r>
          </w:p>
        </w:tc>
        <w:tc>
          <w:tcPr>
            <w:tcW w:type="dxa" w:w="1680"/>
          </w:tcPr>
          <w:p>
            <w:r/>
            <w:r>
              <w:rPr>
                <w:b w:val="0"/>
                <w:color w:val="111827"/>
                <w:sz w:val="16"/>
              </w:rPr>
              <w:t>input_validation</w:t>
            </w:r>
          </w:p>
        </w:tc>
        <w:tc>
          <w:tcPr>
            <w:tcW w:type="dxa" w:w="1680"/>
          </w:tcPr>
          <w:p>
            <w:r/>
            <w:r>
              <w:rPr>
                <w:b w:val="0"/>
                <w:color w:val="111827"/>
                <w:sz w:val="16"/>
              </w:rPr>
              <w:t>Service names must match the canonical format.</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to establish baselines.</w:t>
      </w:r>
    </w:p>
    <w:p>
      <w:r>
        <w:br w:type="page"/>
      </w:r>
    </w:p>
    <w:p>
      <w:pPr>
        <w:pStyle w:val="Heading1"/>
      </w:pPr>
      <w:r>
        <w:t>Section Q - Form Traceability Matrix</w:t>
      </w:r>
    </w:p>
    <w:p>
      <w:r>
        <w:rPr>
          <w:b w:val="0"/>
          <w:color w:val="6B7280"/>
          <w:sz w:val="18"/>
        </w:rPr>
        <w:t>Ensure traceability of changes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designed to achieve incremental migration goals.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the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Non-compliance with service naming standards could lead to integration issues.</w:t>
            </w:r>
          </w:p>
        </w:tc>
        <w:tc>
          <w:tcPr>
            <w:tcW w:type="dxa" w:w="2520"/>
          </w:tcPr>
          <w:p>
            <w:r/>
            <w:r>
              <w:rPr>
                <w:b w:val="0"/>
                <w:color w:val="111827"/>
                <w:sz w:val="16"/>
              </w:rPr>
              <w:t>Implement automated compliance checks and alerts.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due to compliance checks.</w:t>
            </w:r>
          </w:p>
        </w:tc>
        <w:tc>
          <w:tcPr>
            <w:tcW w:type="dxa" w:w="2520"/>
            <w:shd w:val="clear" w:color="auto" w:fill="F3F4F6"/>
          </w:tcPr>
          <w:p>
            <w:r/>
            <w:r>
              <w:rPr>
                <w:b w:val="0"/>
                <w:color w:val="111827"/>
                <w:sz w:val="16"/>
              </w:rPr>
              <w:t>Optimize compliance check algorithms and conduct performance testing.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artifact://legacy_inventory/1.0/art_legacy_inventory_1f44fc6649ea4227</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artifact://repo_landscape/1.0/art_repo_landscape_b3811c506b7a4a27</w:t>
            </w:r>
          </w:p>
        </w:tc>
      </w:tr>
      <w:tr>
        <w:tc>
          <w:tcPr>
            <w:tcW w:type="dxa" w:w="5040"/>
          </w:tcPr>
          <w:p>
            <w:r/>
            <w:r>
              <w:rPr>
                <w:b w:val="0"/>
                <w:color w:val="111827"/>
                <w:sz w:val="16"/>
              </w:rPr>
              <w:t>scope_lock_ref</w:t>
            </w:r>
          </w:p>
        </w:tc>
        <w:tc>
          <w:tcPr>
            <w:tcW w:type="dxa" w:w="5040"/>
          </w:tcPr>
          <w:p>
            <w:r/>
            <w:r>
              <w:rPr>
                <w:b w:val="0"/>
                <w:color w:val="111827"/>
                <w:sz w:val="16"/>
              </w:rPr>
              <w:t>artifact://scope_lock/1.0/art_scope_lock_6de4a011b738452b</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artifact://variant_inventory/1.0/art_variant_inventory_6560953dad2f4aaf</w:t>
            </w:r>
          </w:p>
        </w:tc>
      </w:tr>
      <w:tr>
        <w:tc>
          <w:tcPr>
            <w:tcW w:type="dxa" w:w="5040"/>
          </w:tcPr>
          <w:p>
            <w:r/>
            <w:r>
              <w:rPr>
                <w:b w:val="0"/>
                <w:color w:val="111827"/>
                <w:sz w:val="16"/>
              </w:rPr>
              <w:t>event_map_ref</w:t>
            </w:r>
          </w:p>
        </w:tc>
        <w:tc>
          <w:tcPr>
            <w:tcW w:type="dxa" w:w="5040"/>
          </w:tcPr>
          <w:p>
            <w:r/>
            <w:r>
              <w:rPr>
                <w:b w:val="0"/>
                <w:color w:val="111827"/>
                <w:sz w:val="16"/>
              </w:rPr>
              <w:t>artifact://event_map/1.0/art_event_map_4cb9bba9c4044136</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artifact://sql_catalog/1.0/art_sql_catalog_dba2805286f841e7</w:t>
            </w:r>
          </w:p>
        </w:tc>
      </w:tr>
      <w:tr>
        <w:tc>
          <w:tcPr>
            <w:tcW w:type="dxa" w:w="5040"/>
          </w:tcPr>
          <w:p>
            <w:r/>
            <w:r>
              <w:rPr>
                <w:b w:val="0"/>
                <w:color w:val="111827"/>
                <w:sz w:val="16"/>
              </w:rPr>
              <w:t>sql_map_ref</w:t>
            </w:r>
          </w:p>
        </w:tc>
        <w:tc>
          <w:tcPr>
            <w:tcW w:type="dxa" w:w="5040"/>
          </w:tcPr>
          <w:p>
            <w:r/>
            <w:r>
              <w:rPr>
                <w:b w:val="0"/>
                <w:color w:val="111827"/>
                <w:sz w:val="16"/>
              </w:rPr>
              <w:t>artifact://sql_map/1.0/art_sql_map_3f701b57d1784a2d</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artifact://data_access_map/1.0/art_data_access_map_58e94ff1b6ad45cc</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artifact://recordset_ops/1.0/art_recordset_ops_6e062ce572d44163</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artifact://procedure_summary/1.0/art_procedure_summary_97080f8ff2454b77</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artifact://form_dossier/1.0/art_form_dossier_d7cb40480c6f4b92</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artifact://dependency_inventory/1.0/art_dependency_inventory_b525a281f5f949a7</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artifact://dependency_inventory/1.0/art_dependency_inventory_b525a281f5f949a7</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artifact://business_rule_catalog/1.0/art_business_rule_catalog_9a420beee57743dc</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artifact://detector_findings/1.0/art_detector_findings_88d56dd7edad4035</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artifact://risk_register/1.0/art_risk_register_d672df50901f4f30</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artifact://orphan_analysis/1.0/art_orphan_analysis_d46f98b78b1547cd</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artifact://delivery_constitution/1.0/art_delivery_constitution_1197738c69684b49</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artifact://variant_diff_report/1.0/art_variant_diff_report_c3f0431abe2c4e5d</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artifact://reporting_model/1.0/art_reporting_model_7757603d1d8e40bd</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artifact://identity_access_model/1.0/art_identity_access_model_3a80dd4171dc4e7a</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artifact://discover_review_checklist/1.0/art_discover_review_checklist_f98ce7f35d774dc2</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artifact://artifact_index/1.0/art_artifact_index_56e01c549e0d4dec</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runctx://runctx-2068352b4ab889ea/kctx-6c852fcceab50a55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runctx://runctx-2068352b4ab889ea/delivery_constitution/const-35db4cfb48b7</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