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3A5C"/>
          <w:sz w:val="36"/>
        </w:rPr>
        <w:t>Legacy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Current-State Brownfield Architecture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Sections with sourced placeholders require human architect review before distribution.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Known Unknowns in Section 7 must be resolved or explicitly accepted before baseline sign-off.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Legacy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Purpose of This Baseline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1.3 Key Architectural Characteristics</w:t>
      </w:r>
    </w:p>
    <w:p>
      <w:r>
        <w:rPr>
          <w:b/>
          <w:i w:val="0"/>
          <w:color w:val="111111"/>
          <w:sz w:val="20"/>
        </w:rPr>
        <w:t>2.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Application Purpose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Operational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External Integrations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Current Technology Stack</w:t>
      </w:r>
    </w:p>
    <w:p>
      <w:r>
        <w:rPr>
          <w:b/>
          <w:i w:val="0"/>
          <w:color w:val="111111"/>
          <w:sz w:val="20"/>
        </w:rPr>
        <w:t>3. Component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Architecture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Current System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Module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Module Dependencies Matrix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Lines of Code Analysis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3.6 Architectural Observations</w:t>
      </w:r>
    </w:p>
    <w:p>
      <w:r>
        <w:rPr>
          <w:b/>
          <w:i w:val="0"/>
          <w:color w:val="111111"/>
          <w:sz w:val="20"/>
        </w:rPr>
        <w:t>4. Integration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Database and Entity Touchpoints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Connection Patterns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Data Touchpoint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Inventory</w:t>
      </w:r>
    </w:p>
    <w:p>
      <w:r>
        <w:rPr>
          <w:b/>
          <w:i w:val="0"/>
          <w:color w:val="111111"/>
          <w:sz w:val="20"/>
        </w:rPr>
        <w:t>6. Technical Debt Catalogue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Debt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Ranked Debt Items</w:t>
      </w:r>
    </w:p>
    <w:p>
      <w:r>
        <w:rPr>
          <w:b/>
          <w:i w:val="0"/>
          <w:color w:val="111111"/>
          <w:sz w:val="20"/>
        </w:rPr>
        <w:t>7. Known Unknowns</w:t>
      </w:r>
    </w:p>
    <w:p>
      <w:r>
        <w:rPr>
          <w:b/>
          <w:i w:val="0"/>
          <w:color w:val="111111"/>
          <w:sz w:val="20"/>
        </w:rPr>
        <w:t>8. Operational Characteristics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Execution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Runtime and Error Signals</w:t>
      </w:r>
    </w:p>
    <w:p>
      <w:r>
        <w:rPr>
          <w:b/>
          <w:i w:val="0"/>
          <w:color w:val="111111"/>
          <w:sz w:val="20"/>
        </w:rPr>
        <w:t>Appendix B. File to Module Mapping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This Legacy High Level Design establishes the current-state baseline for a 261-module brownfield codebase before target decomposition and migration planning.</w:t>
      </w:r>
    </w:p>
    <w:p>
      <w:pPr>
        <w:pStyle w:val="Heading2"/>
      </w:pPr>
      <w:r>
        <w:rPr>
          <w:b/>
          <w:i w:val="0"/>
          <w:color w:val="1B3A5C"/>
          <w:sz w:val="24"/>
        </w:rPr>
        <w:t>1.1 Legacy Baseline</w:t>
      </w:r>
    </w:p>
    <w:p>
      <w:r>
        <w:rPr>
          <w:b w:val="0"/>
          <w:i w:val="0"/>
          <w:color w:val="111111"/>
          <w:sz w:val="20"/>
        </w:rPr>
        <w:t>Static analysis currently maps 261 legacy modules, 0 lines of code, 0 external dependency reference(s), and 0 captured golden flow(s).</w:t>
      </w:r>
    </w:p>
    <w:p>
      <w:r>
        <w:rPr>
          <w:b w:val="0"/>
          <w:i w:val="0"/>
          <w:color w:val="111111"/>
          <w:sz w:val="20"/>
        </w:rPr>
        <w:t>Typed LOC breakdown was not available in the current analyst inventory.</w:t>
      </w:r>
    </w:p>
    <w:p>
      <w:r>
        <w:rPr>
          <w:b w:val="0"/>
          <w:i w:val="0"/>
          <w:color w:val="111111"/>
          <w:sz w:val="20"/>
        </w:rPr>
        <w:t>Traceability currently covers 261 source modules and the data ownership matrix contains 129 entity row(s).</w:t>
      </w:r>
    </w:p>
    <w:p>
      <w:pPr>
        <w:pStyle w:val="Heading2"/>
      </w:pPr>
      <w:r>
        <w:rPr>
          <w:b/>
          <w:i w:val="0"/>
          <w:color w:val="1B3A5C"/>
          <w:sz w:val="24"/>
        </w:rPr>
        <w:t>1.2 Purpose of This Baseline</w:t>
      </w:r>
    </w:p>
    <w:p>
      <w:r>
        <w:rPr>
          <w:b w:val="0"/>
          <w:i w:val="0"/>
          <w:color w:val="111111"/>
          <w:sz w:val="20"/>
        </w:rPr>
        <w:t>The legacy system is a PHP-based MVC application managing staffing and HR processes.</w:t>
      </w:r>
    </w:p>
    <w:p>
      <w:r>
        <w:rPr>
          <w:b w:val="0"/>
          <w:i w:val="0"/>
          <w:color w:val="111111"/>
          <w:sz w:val="20"/>
        </w:rPr>
        <w:t>Phase 9b — helper_code refusal propagation + H11.</w:t>
      </w:r>
    </w:p>
    <w:p>
      <w:pPr>
        <w:pStyle w:val="Heading2"/>
      </w:pPr>
      <w:r>
        <w:rPr>
          <w:b/>
          <w:i w:val="0"/>
          <w:color w:val="1B3A5C"/>
          <w:sz w:val="24"/>
        </w:rPr>
        <w:t>1.3 Key Architectural Characteristics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Coupling analysis produced 261 module-level instability score(s).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Global state inventory currently captures 0 variable row(s) requiring resolution during modernization.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Risk detector evidence surfaced 0 named migration risk signal(s).</w:t>
      </w:r>
    </w:p>
    <w:p>
      <w:pPr>
        <w:pStyle w:val="Heading1"/>
      </w:pPr>
      <w:r>
        <w:rPr>
          <w:b/>
          <w:i w:val="0"/>
          <w:color w:val="1B3A5C"/>
          <w:sz w:val="26"/>
        </w:rPr>
        <w:t>2. System Context</w:t>
      </w:r>
    </w:p>
    <w:p>
      <w:pPr>
        <w:pStyle w:val="Heading2"/>
      </w:pPr>
      <w:r>
        <w:rPr>
          <w:b/>
          <w:i w:val="0"/>
          <w:color w:val="1B3A5C"/>
          <w:sz w:val="24"/>
        </w:rPr>
        <w:t>2.1 Application Purpose</w:t>
      </w:r>
    </w:p>
    <w:p>
      <w:r>
        <w:rPr>
          <w:b w:val="0"/>
          <w:i w:val="0"/>
          <w:color w:val="111111"/>
          <w:sz w:val="20"/>
        </w:rPr>
        <w:t>MagicBox Modernization is a legacy application undergoing modernization.</w:t>
      </w:r>
    </w:p>
    <w:p>
      <w:r>
        <w:rPr>
          <w:b w:val="0"/>
          <w:i w:val="0"/>
          <w:color w:val="111111"/>
          <w:sz w:val="20"/>
        </w:rPr>
        <w:t>The legacy system is a PHP-based MVC application managing staffing and HR processes.</w:t>
      </w:r>
    </w:p>
    <w:p>
      <w:pPr>
        <w:pStyle w:val="Heading2"/>
      </w:pPr>
      <w:r>
        <w:rPr>
          <w:b/>
          <w:i w:val="0"/>
          <w:color w:val="1B3A5C"/>
          <w:sz w:val="24"/>
        </w:rPr>
        <w:t>2.2 Operational Context</w:t>
      </w:r>
    </w:p>
    <w:p>
      <w:r>
        <w:rPr>
          <w:b w:val="0"/>
          <w:i w:val="0"/>
          <w:color w:val="111111"/>
          <w:sz w:val="20"/>
        </w:rPr>
        <w:t>The application is evidenced by 0 golden flow(s), indicating a predominantly form-driven and user-initiated execution model.</w:t>
      </w:r>
    </w:p>
    <w:p>
      <w:r>
        <w:rPr>
          <w:b w:val="0"/>
          <w:i w:val="0"/>
          <w:color w:val="111111"/>
          <w:sz w:val="20"/>
        </w:rPr>
        <w:t>Primary brownfield evidence for current-state understanding comes from analyst inventory, form dossiers, SQL catalogs, and dependency extraction for repo magicbox-modernization.</w:t>
      </w:r>
    </w:p>
    <w:p>
      <w:pPr>
        <w:pStyle w:val="Heading3"/>
      </w:pPr>
      <w:r>
        <w:rPr>
          <w:b/>
          <w:i w:val="0"/>
          <w:color w:val="1B3A5C"/>
          <w:sz w:val="22"/>
        </w:rPr>
        <w:t>Key Business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Capability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form dossiers and business-use summaries.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analyst_output.raw_artifacts.form_dossier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2.3 External Integrations</w:t>
      </w:r>
    </w:p>
    <w:p>
      <w:r>
        <w:rPr>
          <w:b w:val="0"/>
          <w:i w:val="0"/>
          <w:color w:val="111111"/>
          <w:sz w:val="20"/>
        </w:rPr>
        <w:t>External integrations extracted from source evidence: [ Populate from symbol_index.external_deps - no dependency rows were available in the current run. ]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Presentation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presentation layer (source-language unknown)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mapped modules in legacy UI flow inventory.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Access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data-access layer (source-language unknown)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 connection pattern(s) extracted from source evidence.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Dependencies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library/runtime dependencies require confirmation.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binary/runtime dependencies extracted from static analysis.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2.4 Current Technology Stack</w:t>
      </w:r>
    </w:p>
    <w:p>
      <w:r>
        <w:rPr>
          <w:b w:val="0"/>
          <w:i w:val="0"/>
          <w:color w:val="111111"/>
          <w:sz w:val="20"/>
        </w:rPr>
        <w:t>The current estate combines UI modules, inline database access, and external binary/runtime dependencies such as legacy dependencies requiring confirmation.</w:t>
      </w:r>
    </w:p>
    <w:p>
      <w:pPr>
        <w:pStyle w:val="Heading1"/>
      </w:pPr>
      <w:r>
        <w:rPr>
          <w:b/>
          <w:i w:val="0"/>
          <w:color w:val="1B3A5C"/>
          <w:sz w:val="26"/>
        </w:rPr>
        <w:t>3. Component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3.1 Architecture Overview</w:t>
      </w:r>
    </w:p>
    <w:p>
      <w:r>
        <w:rPr>
          <w:b w:val="0"/>
          <w:i w:val="0"/>
          <w:color w:val="111111"/>
          <w:sz w:val="20"/>
        </w:rPr>
        <w:t>The current application boundary is represented by 261 mapped source modules feeding 261 current traceability mappings into the target decomposition.</w:t>
      </w:r>
    </w:p>
    <w:p>
      <w:r>
        <w:rPr>
          <w:b w:val="0"/>
          <w:i w:val="0"/>
          <w:color w:val="111111"/>
          <w:sz w:val="20"/>
        </w:rPr>
        <w:t>This section documents the current-state structure exactly as evidenced by the analyst inventory and coupling heatmap; it does not introduce target-state design assumptions.</w:t>
      </w:r>
    </w:p>
    <w:p>
      <w:pPr>
        <w:pStyle w:val="Heading2"/>
      </w:pPr>
      <w:r>
        <w:rPr>
          <w:b/>
          <w:i w:val="0"/>
          <w:color w:val="1B3A5C"/>
          <w:sz w:val="24"/>
        </w:rPr>
        <w:t>3.2 Current System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Current System Diagram - Generated by Synthetix Architect Agent</w:t>
      </w:r>
    </w:p>
    <w:p>
      <w:pPr>
        <w:pStyle w:val="Heading2"/>
      </w:pPr>
      <w:r>
        <w:rPr>
          <w:b/>
          <w:i w:val="0"/>
          <w:color w:val="1B3A5C"/>
          <w:sz w:val="24"/>
        </w:rPr>
        <w:t>3.3 Module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Mapped Service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Instability</w:t>
            </w:r>
          </w:p>
        </w:tc>
        <w:tc>
          <w:tcPr>
            <w:tcW w:type="dxa" w:w="1728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workflow module.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3.4 Module Dependencies Matrix</w:t>
      </w:r>
    </w:p>
    <w:p>
      <w:pPr>
        <w:pStyle w:val="Heading3"/>
      </w:pPr>
      <w:r>
        <w:rPr>
          <w:b/>
          <w:i w:val="0"/>
          <w:color w:val="1B3A5C"/>
          <w:sz w:val="22"/>
        </w:rPr>
        <w:t>Module Dependencies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Group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Observation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chunk_manifest_v1 adjacency.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chunk_manifest_v1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3.5 Lines of Code Analysis</w:t>
      </w:r>
    </w:p>
    <w:p>
      <w:pPr>
        <w:pStyle w:val="Heading3"/>
      </w:pPr>
      <w:r>
        <w:rPr>
          <w:b/>
          <w:i w:val="0"/>
          <w:color w:val="1B3A5C"/>
          <w:sz w:val="22"/>
        </w:rPr>
        <w:t>Lines of Code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Classification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3.6 Architectural Observations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Highest-risk modules are represented by 0 inventory row(s) tagged High/Critical.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The current decomposition still depends on legacy data/entity touchpoints across 129 observed ownership row(s).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Module-to-service mappings in this section are analytical target references only and do not imply the legacy system already has those service boundaries.</w:t>
      </w:r>
    </w:p>
    <w:p>
      <w:pPr>
        <w:pStyle w:val="Heading1"/>
      </w:pPr>
      <w:r>
        <w:rPr>
          <w:b/>
          <w:i w:val="0"/>
          <w:color w:val="1B3A5C"/>
          <w:sz w:val="26"/>
        </w:rPr>
        <w:t>4. Integration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4.1 Database and Entity Touchpoints</w:t>
      </w:r>
    </w:p>
    <w:p>
      <w:pPr>
        <w:pStyle w:val="Heading3"/>
      </w:pPr>
      <w:r>
        <w:rPr>
          <w:b/>
          <w:i w:val="0"/>
          <w:color w:val="1B3A5C"/>
          <w:sz w:val="22"/>
        </w:rPr>
        <w:t>Legacy Data and Integration Touchpoints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Readers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</w:tr>
    </w:tbl>
    <w:p>
      <w:pPr>
        <w:pStyle w:val="Heading2"/>
      </w:pPr>
      <w:r>
        <w:rPr>
          <w:b/>
          <w:i w:val="0"/>
          <w:color w:val="1B3A5C"/>
          <w:sz w:val="24"/>
        </w:rPr>
        <w:t>4.2 Connection Patterns</w:t>
      </w:r>
    </w:p>
    <w:p>
      <w:pPr>
        <w:pStyle w:val="Heading3"/>
      </w:pPr>
      <w:r>
        <w:rPr>
          <w:b/>
          <w:i w:val="0"/>
          <w:color w:val="1B3A5C"/>
          <w:sz w:val="22"/>
        </w:rPr>
        <w:t>Connection Patterns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Provider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connection_string_variants or technical debt policy.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analyst raw artifacts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1B3A5C"/>
          <w:sz w:val="24"/>
        </w:rPr>
        <w:t>5.1 Data Touchpoint Summary</w:t>
      </w:r>
    </w:p>
    <w:p>
      <w:r>
        <w:rPr>
          <w:b w:val="0"/>
          <w:i w:val="0"/>
          <w:color w:val="111111"/>
          <w:sz w:val="20"/>
        </w:rPr>
        <w:t>The current-state evidence identifies 129 entity ownership or read-path row(s) and 0 global state variable row(s) that influence migration sequencing.</w:t>
      </w:r>
    </w:p>
    <w:p>
      <w:pPr>
        <w:pStyle w:val="Heading2"/>
      </w:pPr>
      <w:r>
        <w:rPr>
          <w:b/>
          <w:i w:val="0"/>
          <w:color w:val="1B3A5C"/>
          <w:sz w:val="24"/>
        </w:rPr>
        <w:t>5.2 Global State Inventory</w:t>
      </w:r>
    </w:p>
    <w:p>
      <w:pPr>
        <w:pStyle w:val="Heading3"/>
      </w:pPr>
      <w:r>
        <w:rPr>
          <w:b/>
          <w:i w:val="0"/>
          <w:color w:val="1B3A5C"/>
          <w:sz w:val="22"/>
        </w:rPr>
        <w:t>Global State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Used In Modules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Blocker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symbol_index.globals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6. Technical Debt Catalogue</w:t>
      </w:r>
    </w:p>
    <w:p>
      <w:pPr>
        <w:pStyle w:val="Heading2"/>
      </w:pPr>
      <w:r>
        <w:rPr>
          <w:b/>
          <w:i w:val="0"/>
          <w:color w:val="1B3A5C"/>
          <w:sz w:val="24"/>
        </w:rPr>
        <w:t>6.1 Debt Summary</w:t>
      </w:r>
    </w:p>
    <w:p>
      <w:r>
        <w:rPr>
          <w:b w:val="0"/>
          <w:i w:val="0"/>
          <w:color w:val="111111"/>
          <w:sz w:val="20"/>
        </w:rPr>
        <w:t>Technical debt is derived from coupling analysis, risk register evidence, and detector findings, with 0 explicit detector signal(s) contributing to migration concern scoring.</w:t>
      </w:r>
    </w:p>
    <w:p>
      <w:pPr>
        <w:pStyle w:val="Heading2"/>
      </w:pPr>
      <w:r>
        <w:rPr>
          <w:b/>
          <w:i w:val="0"/>
          <w:color w:val="1B3A5C"/>
          <w:sz w:val="24"/>
        </w:rPr>
        <w:t>6.2 Ranked Debt Items</w:t>
      </w:r>
    </w:p>
    <w:p>
      <w:pPr>
        <w:pStyle w:val="Heading3"/>
      </w:pPr>
      <w:r>
        <w:rPr>
          <w:b/>
          <w:i w:val="0"/>
          <w:color w:val="1B3A5C"/>
          <w:sz w:val="22"/>
        </w:rPr>
        <w:t>Debt Items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Impact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Affected Phase</w:t>
            </w:r>
          </w:p>
        </w:tc>
        <w:tc>
          <w:tcPr>
            <w:tcW w:type="dxa" w:w="207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Evidence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7. Known Unknowns</w:t>
      </w:r>
    </w:p>
    <w:p>
      <w:r>
        <w:rPr>
          <w:b w:val="0"/>
          <w:i w:val="0"/>
          <w:color w:val="111111"/>
          <w:sz w:val="20"/>
        </w:rPr>
        <w:t>Known Unknowns are retained explicitly to prevent false confidence in the baseline. These items require resolution or formal acceptance before client baseline sign-off.</w:t>
      </w:r>
    </w:p>
    <w:p>
      <w:pPr>
        <w:pStyle w:val="Heading2"/>
      </w:pPr>
      <w:r>
        <w:rPr>
          <w:b/>
          <w:i w:val="0"/>
          <w:color w:val="1B3A5C"/>
          <w:sz w:val="24"/>
        </w:rPr>
        <w:t>Known Unknowns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Blocks Phase</w:t>
            </w:r>
          </w:p>
        </w:tc>
        <w:tc>
          <w:tcPr>
            <w:tcW w:type="dxa" w:w="2592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Resolution Path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External batch or scheduler orchestration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The repository does not prove whether reporting, reconciliation, or end-of-day workflows are triggered by external schedulers outside the codebase.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4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production job schedule and operator runbooks before finalizing migration constraints.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Production data volume and concurrency baseline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Static analysis identifies write paths and concurrency risks, but not live transaction volume, peak user load, or data retention size.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Collect production telemetry / DBA baselines before setting final performance and scaling targets.</w:t>
            </w:r>
          </w:p>
        </w:tc>
      </w:tr>
    </w:tbl>
    <w:p>
      <w:pPr>
        <w:pStyle w:val="Heading1"/>
      </w:pPr>
      <w:r>
        <w:rPr>
          <w:b/>
          <w:i w:val="0"/>
          <w:color w:val="1B3A5C"/>
          <w:sz w:val="26"/>
        </w:rPr>
        <w:t>8. Operational Characteristics</w:t>
      </w:r>
    </w:p>
    <w:p>
      <w:pPr>
        <w:pStyle w:val="Heading2"/>
      </w:pPr>
      <w:r>
        <w:rPr>
          <w:b/>
          <w:i w:val="0"/>
          <w:color w:val="1B3A5C"/>
          <w:sz w:val="24"/>
        </w:rPr>
        <w:t>8.1 Execution Model</w:t>
      </w:r>
    </w:p>
    <w:p>
      <w:r>
        <w:rPr>
          <w:b w:val="0"/>
          <w:i w:val="0"/>
          <w:color w:val="111111"/>
          <w:sz w:val="20"/>
        </w:rPr>
        <w:t>Execution remains form-driven and stateful, with modernization risk concentrated in write-heavy transaction and reporting workflows.</w:t>
      </w:r>
    </w:p>
    <w:p>
      <w:r>
        <w:rPr>
          <w:b w:val="0"/>
          <w:i w:val="0"/>
          <w:color w:val="111111"/>
          <w:sz w:val="20"/>
        </w:rPr>
        <w:t>Golden-flow evidence currently covers legacy user flows as representative runtime behaviors.</w:t>
      </w:r>
    </w:p>
    <w:p>
      <w:pPr>
        <w:pStyle w:val="Heading2"/>
      </w:pPr>
      <w:r>
        <w:rPr>
          <w:b/>
          <w:i w:val="0"/>
          <w:color w:val="1B3A5C"/>
          <w:sz w:val="24"/>
        </w:rPr>
        <w:t>8.2 Runtime and Error Signals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detector signals were extracted from current evidence.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Error handling and runtime behaviors are only partially visible through static analysis; validate production scheduler, dependency registration, and throughput baselines before final baseline sign-off.</w:t>
      </w:r>
    </w:p>
    <w:p>
      <w:pPr>
        <w:pStyle w:val="Heading1"/>
      </w:pPr>
      <w:r>
        <w:rPr>
          <w:b/>
          <w:i w:val="0"/>
          <w:color w:val="1B3A5C"/>
          <w:sz w:val="26"/>
        </w:rPr>
        <w:t>Appendix B. File to Module Mapping</w:t>
      </w:r>
    </w:p>
    <w:p>
      <w:pPr>
        <w:pStyle w:val="Heading2"/>
      </w:pPr>
      <w:r>
        <w:rPr>
          <w:b/>
          <w:i w:val="0"/>
          <w:color w:val="1B3A5C"/>
          <w:sz w:val="24"/>
        </w:rPr>
        <w:t>File to Module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File Path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Module Name</w:t>
            </w:r>
          </w:p>
        </w:tc>
        <w:tc>
          <w:tcPr>
            <w:tcW w:type="dxa" w:w="3456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LOC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/>
                <w:color w:val="E8511A"/>
                <w:sz w:val="18"/>
              </w:rPr>
              <w:t>[ Populate from legacy_code_inventory.source_loc_by_file. ]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legacy_code_inventory.source_loc_by_file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1B3A5C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1B3A5C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3ad180d9186a0c1fc8cf82c2b37fb121d3355368acb01609cee524db1bb92439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9f2bddaf11ec955f4504800f8ca003dc4f4aba08d1fb0660ca1abcd1d7409d70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