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20260513_150620_012a693d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2026-05-13T15:08:11Z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users before accessing customer accounts.</w:t>
      </w:r>
    </w:p>
    <w:p>
      <w:r>
        <w:rPr>
          <w:b w:val="0"/>
          <w:i w:val="0"/>
        </w:rPr>
        <w:t xml:space="preserve">  • svc-customer-and-account → svc-billing-and-finance  (sync)  Process customer billing information.</w:t>
      </w:r>
    </w:p>
    <w:p>
      <w:r>
        <w:rPr>
          <w:b w:val="0"/>
          <w:i w:val="0"/>
        </w:rPr>
        <w:t xml:space="preserve">  • svc-staffing-and-placement → svc-onboarding-and-credentialing  (sync)  Transfer placement details for onboarding.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b w:val="0"/>
          <w:i w:val="0"/>
        </w:rPr>
        <w:t xml:space="preserve">  • user → svc-authentication-and-identity  (sync)  user invokes GET /reporting/tsdailyentitycontroller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users before accessing customer accounts.</w:t>
        <w:br/>
        <w:t xml:space="preserve">    svc-customer-and-account-&gt;&gt;svc-billing-and-finance: Process customer billing information.</w:t>
        <w:br/>
        <w:t xml:space="preserve">    svc-staffing-and-placement-&gt;&gt;svc-onboarding-and-credentialing: Transfer placement details for onboarding.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 xml:space="preserve">    user-&gt;&gt;svc-authentication-and-identity: user invokes GET /reporting/tsdailyentitycontroller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maintainability.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its comprehensive ORM capabilities.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automatic object-object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models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FR-001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secure and scalable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optimal accuracy and efficiency.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stance to improve system robustness.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 with .NET.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FR-008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