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Guiding the phased UI migration to ensure compatibility with new technologies.</w:t>
      </w:r>
    </w:p>
    <w:p>
      <w:r>
        <w:rPr>
          <w:b w:val="0"/>
          <w:color w:val="6B7280"/>
          <w:sz w:val="18"/>
        </w:rPr>
        <w:t>Run 20260513_134537_f633ff33  ·  Generated 2026-05-13T13:46:27.325069+00:00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its alignment with project objectives.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Modernize the existing codebase to ensure compatibility with new technologies while maintaining current functionality.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UI Migration recommended.</w:t>
      </w:r>
    </w:p>
    <w:p>
      <w:r>
        <w:rPr>
          <w:b w:val="0"/>
          <w:color w:val="111827"/>
          <w:sz w:val="20"/>
        </w:rPr>
        <w:t>The MagicBox Modernization project aims to update the existing codebase to align with contemporary technologies while preserving its current functionality. The strategy involves a phased UI migration to React, ensuring a smooth transition without disrupting backend operations. This workbook provides a comprehensive guide to the modernization process, detailing each phase's objectives, outcomes, and exit criteria. With a high-risk tier and a readiness score of zero, the project requires meticulous planning and execution to achieve its goals.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codebase for new technology compatibility.</w:t>
      </w:r>
    </w:p>
    <w:p>
      <w:pPr>
        <w:pStyle w:val="ListParagraph"/>
      </w:pPr>
      <w:r>
        <w:rPr>
          <w:b w:val="0"/>
          <w:color w:val="111827"/>
          <w:sz w:val="18"/>
        </w:rPr>
        <w:t>- Strategy: Phased UI migration to React.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a readiness score of zero.</w:t>
      </w:r>
    </w:p>
    <w:p>
      <w:pPr>
        <w:pStyle w:val="ListParagraph"/>
      </w:pPr>
      <w:r>
        <w:rPr>
          <w:b w:val="0"/>
          <w:color w:val="111827"/>
          <w:sz w:val="18"/>
        </w:rPr>
        <w:t>- Outcome: Maintain functionality during transition.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Incremental Migration, Hardening.</w:t>
      </w:r>
    </w:p>
    <w:p>
      <w:pPr>
        <w:pStyle w:val="ListParagraph"/>
      </w:pPr>
      <w:r>
        <w:rPr>
          <w:b w:val="0"/>
          <w:color w:val="111827"/>
          <w:sz w:val="18"/>
        </w:rPr>
        <w:t>- Focus: Gradual transition with backend stability.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 Alert: </w:t>
      </w:r>
      <w:r>
        <w:rPr>
          <w:b w:val="0"/>
          <w:color w:val="111827"/>
          <w:sz w:val="18"/>
        </w:rPr>
        <w:t>High-risk tier requires careful management.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UI Migration: </w:t>
      </w:r>
      <w:r>
        <w:rPr>
          <w:b w:val="0"/>
          <w:color w:val="111827"/>
          <w:sz w:val="20"/>
        </w:rPr>
        <w:t>Allows gradual transition to React while maintaining backend stability.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(2/3)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current dependencies to identify potential risks during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and modules for phased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 approval requires co-approval from office leader.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ensure baseline equivalence.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to maintain functionality.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for each phase of the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management of risks associated with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 to PostgreSQL.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thorough data validation post-migration.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Integration issues with Microsoft Entra ID.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 integration testing with all user roles.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artifact://legacy_inventory/1.0/art_legacy_inventory_4b5651a4695a4fd6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artifact://repo_landscape/1.0/art_repo_landscape_478da7aaa0f74057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artifact://scope_lock/1.0/art_scope_lock_a316156cd9af4c79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artifact://variant_inventory/1.0/art_variant_inventory_f4a51fc5ee724bac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artifact://event_map/1.0/art_event_map_46ed9aaf0e4345b6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artifact://sql_catalog/1.0/art_sql_catalog_9d2769051da14a8d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artifact://sql_map/1.0/art_sql_map_abd4cdc93c2e4549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artifact://data_access_map/1.0/art_data_access_map_ee5ac9e26cc043c7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artifact://recordset_ops/1.0/art_recordset_ops_6afab13923d94eb7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artifact://procedure_summary/1.0/art_procedure_summary_34370defa809498c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artifact://form_dossier/1.0/art_form_dossier_dd62ffb37d724d1b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artifact://dependency_inventory/1.0/art_dependency_inventory_3cc2a9dce761496b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artifact://dependency_inventory/1.0/art_dependency_inventory_3cc2a9dce761496b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artifact://business_rule_catalog/1.0/art_business_rule_catalog_5e840dd033794667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artifact://detector_findings/1.0/art_detector_findings_a31ea7811da8424e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artifact://risk_register/1.0/art_risk_register_d4e4adc5c10a46e4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artifact://orphan_analysis/1.0/art_orphan_analysis_d9f96f5480b54a09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artifact://delivery_constitution/1.0/art_delivery_constitution_332a60ca4c3c499c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artifact://variant_diff_report/1.0/art_variant_diff_report_8b34b61437c641f6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artifact://reporting_model/1.0/art_reporting_model_c819746607a54eec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artifact://identity_access_model/1.0/art_identity_access_model_02ff4f93d8764a5b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artifact://discover_review_checklist/1.0/art_discover_review_checklist_44c0699192524240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artifact://artifact_index/1.0/art_artifact_index_ace93e7029a44f3f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runctx://runctx-1db800bc0c379bcb/kctx-9902e42d32f8c0bb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runctx://runctx-1db800bc0c379bcb/delivery_constitution/const-8cd5cd633f94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