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MagicBox Code Modernization Workbook</w:t>
            </w:r>
          </w:p>
        </w:tc>
      </w:tr>
    </w:tbl>
    <w:p>
      <w:r>
        <w:rPr>
          <w:b/>
          <w:color w:val="1F6B75"/>
          <w:sz w:val="26"/>
        </w:rPr>
        <w:t>MagicBox Code Modernization</w:t>
      </w:r>
    </w:p>
    <w:p>
      <w:r>
        <w:rPr>
          <w:b w:val="0"/>
          <w:color w:val="111827"/>
          <w:sz w:val="20"/>
        </w:rPr>
        <w:t>A comprehensive guide to modernizing the MagicBox codebase using the Strangler Fig Pattern.</w:t>
      </w:r>
    </w:p>
    <w:p>
      <w:r>
        <w:rPr>
          <w:b w:val="0"/>
          <w:color w:val="6B7280"/>
          <w:sz w:val="18"/>
        </w:rPr>
        <w:t>Run 20260512_163617_350e426f  ·  Generated 2026-05-12T16:36:52.647395+00:00  ·  Repo app</w:t>
      </w:r>
    </w:p>
    <w:p/>
    <w:p>
      <w:pPr>
        <w:pStyle w:val="Heading1"/>
      </w:pPr>
      <w:r>
        <w:t>Executive Snapshot</w:t>
      </w:r>
    </w:p>
    <w:p>
      <w:r>
        <w:rPr>
          <w:b w:val="0"/>
          <w:color w:val="6B7280"/>
          <w:sz w:val="18"/>
        </w:rPr>
        <w:t>Overview of the modernization objectives and strategic approach.</w:t>
      </w:r>
    </w:p>
    <w:p>
      <w:r>
        <w:rPr>
          <w:b/>
          <w:color w:val="2E75B6"/>
          <w:sz w:val="20"/>
        </w:rPr>
        <w:t xml:space="preserve">Objective: </w:t>
      </w:r>
      <w:r>
        <w:rPr>
          <w:b w:val="0"/>
          <w:color w:val="111827"/>
          <w:sz w:val="20"/>
        </w:rPr>
        <w:t>Ensure the SYN-RECON-01 fix results in at least 249 controllers and 785 routes in the MagicBox codebase.</w:t>
      </w:r>
    </w:p>
    <w:p>
      <w:r>
        <w:rPr>
          <w:b/>
          <w:color w:val="2E75B6"/>
          <w:sz w:val="20"/>
        </w:rPr>
        <w:t xml:space="preserve">Summary: </w:t>
      </w:r>
      <w:r>
        <w:rPr>
          <w:b w:val="0"/>
          <w:color w:val="111827"/>
          <w:sz w:val="20"/>
        </w:rPr>
        <w:t>Strangler Fig Pattern recommended.</w:t>
      </w:r>
    </w:p>
    <w:p>
      <w:r>
        <w:rPr>
          <w:b w:val="0"/>
          <w:color w:val="111827"/>
          <w:sz w:val="20"/>
        </w:rPr>
        <w:t>The MagicBox Code Modernization project aims to ensure the SYN-RECON-01 fix results in at least 249 controllers and 785 routes. Utilizing the Strangler Fig Pattern, the strategy focuses on gradual replacement of legacy components with minimal disruption. The project is divided into phases: Baseline and equivalence harness, Incremental migration and dependency replacement, and Hardening and release evidence. Each phase is designed to address specific challenges and ensure a seamless transition to a modernized codebase.</w:t>
      </w:r>
    </w:p>
    <w:p>
      <w:pPr>
        <w:pStyle w:val="ListParagraph"/>
      </w:pPr>
      <w:r>
        <w:rPr>
          <w:b w:val="0"/>
          <w:color w:val="111827"/>
          <w:sz w:val="18"/>
        </w:rPr>
        <w:t>- Objective: Achieve 249 controllers and 785 routes post-fix.</w:t>
      </w:r>
    </w:p>
    <w:p>
      <w:pPr>
        <w:pStyle w:val="ListParagraph"/>
      </w:pPr>
      <w:r>
        <w:rPr>
          <w:b w:val="0"/>
          <w:color w:val="111827"/>
          <w:sz w:val="18"/>
        </w:rPr>
        <w:t>- Strategy: Strangler Fig Pattern for minimal disruption.</w:t>
      </w:r>
    </w:p>
    <w:p>
      <w:pPr>
        <w:pStyle w:val="ListParagraph"/>
      </w:pPr>
      <w:r>
        <w:rPr>
          <w:b w:val="0"/>
          <w:color w:val="111827"/>
          <w:sz w:val="18"/>
        </w:rPr>
        <w:t>- Phases: Baseline, Migration, Hardening.</w:t>
      </w:r>
    </w:p>
    <w:p>
      <w:pPr>
        <w:pStyle w:val="ListParagraph"/>
      </w:pPr>
      <w:r>
        <w:rPr>
          <w:b w:val="0"/>
          <w:color w:val="111827"/>
          <w:sz w:val="18"/>
        </w:rPr>
        <w:t>- Risk Tier: High, with readiness score at 0.</w:t>
      </w:r>
    </w:p>
    <w:p>
      <w:pPr>
        <w:pStyle w:val="ListParagraph"/>
      </w:pPr>
      <w:r>
        <w:rPr>
          <w:b w:val="0"/>
          <w:color w:val="111827"/>
          <w:sz w:val="18"/>
        </w:rPr>
        <w:t>- No current inventory of projects, forms, or dependencies.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n/a/100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high</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pPr>
        <w:ind w:left="115"/>
      </w:pPr>
      <w:r>
        <w:rPr>
          <w:b/>
          <w:color w:val="2E75B6"/>
          <w:sz w:val="18"/>
        </w:rPr>
        <w:t xml:space="preserve">Risk Alert: </w:t>
      </w:r>
      <w:r>
        <w:rPr>
          <w:b w:val="0"/>
          <w:color w:val="111827"/>
          <w:sz w:val="18"/>
        </w:rPr>
        <w:t>High risk tier identified; readiness score is 0.</w:t>
      </w:r>
    </w:p>
    <w:p>
      <w:pPr>
        <w:pStyle w:val="Heading2"/>
      </w:pPr>
      <w:r>
        <w:t>Recommended Modernization Strategy</w:t>
      </w:r>
    </w:p>
    <w:p>
      <w:r>
        <w:rPr>
          <w:b/>
          <w:color w:val="1F6B75"/>
          <w:sz w:val="20"/>
        </w:rPr>
        <w:t xml:space="preserve">Strangler Fig Pattern: </w:t>
      </w:r>
      <w:r>
        <w:rPr>
          <w:b w:val="0"/>
          <w:color w:val="111827"/>
          <w:sz w:val="20"/>
        </w:rPr>
        <w:t>Allows gradual replacement of legacy components with minimal disruption.</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Q-002</w:t>
            </w:r>
          </w:p>
        </w:tc>
        <w:tc>
          <w:tcPr>
            <w:tcW w:type="dxa" w:w="3360"/>
            <w:shd w:val="clear" w:color="auto" w:fill="F3F4F6"/>
          </w:tcPr>
          <w:p>
            <w:r/>
            <w:r>
              <w:rPr>
                <w:b w:val="0"/>
                <w:color w:val="111827"/>
                <w:sz w:val="18"/>
              </w:rPr>
              <w:t>What are target latency, throughput, and availability SLOs?</w:t>
            </w:r>
          </w:p>
        </w:tc>
        <w:tc>
          <w:tcPr>
            <w:tcW w:type="dxa" w:w="3360"/>
            <w:shd w:val="clear" w:color="auto" w:fill="F3F4F6"/>
          </w:tcPr>
          <w:p>
            <w:r/>
            <w:r>
              <w:rPr>
                <w:b w:val="0"/>
                <w:color w:val="111827"/>
                <w:sz w:val="18"/>
              </w:rPr>
              <w:t>Resolve with product/business owner before implementation commitment.</w:t>
            </w:r>
          </w:p>
        </w:tc>
      </w:tr>
      <w:tr>
        <w:tc>
          <w:tcPr>
            <w:tcW w:type="dxa" w:w="3360"/>
          </w:tcPr>
          <w:p>
            <w:r/>
            <w:r>
              <w:rPr>
                <w:b w:val="0"/>
                <w:color w:val="111827"/>
                <w:sz w:val="18"/>
              </w:rPr>
              <w:t>DEC-BDD-001</w:t>
            </w:r>
          </w:p>
        </w:tc>
        <w:tc>
          <w:tcPr>
            <w:tcW w:type="dxa" w:w="3360"/>
          </w:tcPr>
          <w:p>
            <w:r/>
            <w:r>
              <w:rPr>
                <w:b w:val="0"/>
                <w:color w:val="111827"/>
                <w:sz w:val="18"/>
              </w:rPr>
              <w:t>Ground BDD acceptance criteria in real legacy golden flows before Build planning.</w:t>
            </w:r>
          </w:p>
        </w:tc>
        <w:tc>
          <w:tcPr>
            <w:tcW w:type="dxa" w:w="3360"/>
          </w:tcPr>
          <w:p>
            <w:r/>
            <w:r>
              <w:rPr>
                <w:b w:val="0"/>
                <w:color w:val="111827"/>
                <w:sz w:val="18"/>
              </w:rPr>
              <w:t>Regenerate BDD from validated golden flows, route evidence, and SQL touchpoints before Build starts.</w:t>
            </w:r>
          </w:p>
        </w:tc>
      </w:tr>
      <w:tr>
        <w:tc>
          <w:tcPr>
            <w:tcW w:type="dxa" w:w="3360"/>
            <w:shd w:val="clear" w:color="auto" w:fill="F3F4F6"/>
          </w:tcPr>
          <w:p>
            <w:r/>
            <w:r>
              <w:rPr>
                <w:b w:val="0"/>
                <w:color w:val="111827"/>
                <w:sz w:val="18"/>
              </w:rPr>
              <w:t>DEC-OBS-001</w:t>
            </w:r>
          </w:p>
        </w:tc>
        <w:tc>
          <w:tcPr>
            <w:tcW w:type="dxa" w:w="3360"/>
            <w:shd w:val="clear" w:color="auto" w:fill="F3F4F6"/>
          </w:tcPr>
          <w:p>
            <w:r/>
            <w:r>
              <w:rPr>
                <w:b w:val="0"/>
                <w:color w:val="111827"/>
                <w:sz w:val="18"/>
              </w:rPr>
              <w:t>Logging and observability stack for migrated runtime</w:t>
            </w:r>
          </w:p>
        </w:tc>
        <w:tc>
          <w:tcPr>
            <w:tcW w:type="dxa" w:w="3360"/>
            <w:shd w:val="clear" w:color="auto" w:fill="F3F4F6"/>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Backlog grounded in discovered behavior (8 derived item(s), threshold 3).</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pass=11, warn=5,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11</w:t>
            </w:r>
          </w:p>
        </w:tc>
        <w:tc>
          <w:tcPr>
            <w:tcW w:type="dxa" w:w="1680"/>
          </w:tcPr>
          <w:p>
            <w:r/>
            <w:r>
              <w:rPr>
                <w:b w:val="0"/>
                <w:color w:val="111827"/>
                <w:sz w:val="18"/>
              </w:rPr>
              <w:t>5</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pass=11, warn=5,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1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Unresolved form references detected: Placement process</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source_loc_total is missing; LOC reconciliation skipped.</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DB archaeology check skipped — no database scope detected for this run (primary language: unknown, no SQL signals, no integration DB context).</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Mapping current dependencies to identify potential risks.</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Detailed analysis of forms for migration readiness.</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6"/>
              </w:rPr>
              <w:t>BR-001</w:t>
            </w:r>
          </w:p>
        </w:tc>
        <w:tc>
          <w:tcPr>
            <w:tcW w:type="dxa" w:w="1680"/>
          </w:tcPr>
          <w:p>
            <w:r/>
            <w:r>
              <w:rPr>
                <w:b w:val="0"/>
                <w:color w:val="111827"/>
                <w:sz w:val="16"/>
              </w:rPr>
              <w:t>Placement process</w:t>
            </w:r>
          </w:p>
        </w:tc>
        <w:tc>
          <w:tcPr>
            <w:tcW w:type="dxa" w:w="1680"/>
          </w:tcPr>
          <w:p>
            <w:r/>
            <w:r>
              <w:rPr>
                <w:b w:val="0"/>
                <w:color w:val="111827"/>
                <w:sz w:val="16"/>
              </w:rPr>
              <w:t>Presentation</w:t>
            </w:r>
          </w:p>
        </w:tc>
        <w:tc>
          <w:tcPr>
            <w:tcW w:type="dxa" w:w="1680"/>
          </w:tcPr>
          <w:p>
            <w:r/>
            <w:r>
              <w:rPr>
                <w:b w:val="0"/>
                <w:color w:val="111827"/>
                <w:sz w:val="16"/>
              </w:rPr>
              <w:t>workflow_orchestration</w:t>
            </w:r>
          </w:p>
        </w:tc>
        <w:tc>
          <w:tcPr>
            <w:tcW w:type="dxa" w:w="1680"/>
          </w:tcPr>
          <w:p>
            <w:r/>
            <w:r>
              <w:rPr>
                <w:b w:val="0"/>
                <w:color w:val="111827"/>
                <w:sz w:val="16"/>
              </w:rPr>
              <w:t>Placements must be approved by a co-approver before onboarding.</w:t>
            </w:r>
          </w:p>
        </w:tc>
        <w:tc>
          <w:tcPr>
            <w:tcW w:type="dxa" w:w="1680"/>
          </w:tcPr>
          <w:p>
            <w:r/>
            <w:r>
              <w:rPr>
                <w:b w:val="0"/>
                <w:color w:val="111827"/>
                <w:sz w:val="16"/>
              </w:rPr>
              <w:t>none</w:t>
            </w:r>
          </w:p>
        </w:tc>
      </w:tr>
    </w:tbl>
    <w:p>
      <w:r>
        <w:br w:type="page"/>
      </w:r>
    </w:p>
    <w:p>
      <w:pPr>
        <w:pStyle w:val="Heading1"/>
      </w:pPr>
      <w:r>
        <w:t>Section P - Form Flow Traces</w:t>
      </w:r>
    </w:p>
    <w:p>
      <w:r>
        <w:rPr>
          <w:b w:val="0"/>
          <w:color w:val="6B7280"/>
          <w:sz w:val="18"/>
        </w:rPr>
        <w:t>Capturing golden flows to ensure baseline outputs.</w:t>
      </w:r>
    </w:p>
    <w:p>
      <w:r>
        <w:br w:type="page"/>
      </w:r>
    </w:p>
    <w:p>
      <w:pPr>
        <w:pStyle w:val="Heading1"/>
      </w:pPr>
      <w:r>
        <w:t>Section Q - Form Traceability Matrix</w:t>
      </w:r>
    </w:p>
    <w:p>
      <w:r>
        <w:rPr>
          <w:b w:val="0"/>
          <w:color w:val="6B7280"/>
          <w:sz w:val="18"/>
        </w:rPr>
        <w:t>Ensuring traceability throughout the modernization process.</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Organizing work into sprints for efficient execution.</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Identifying and mitigating risks associated with modernization.</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RISK-1</w:t>
            </w:r>
          </w:p>
        </w:tc>
        <w:tc>
          <w:tcPr>
            <w:tcW w:type="dxa" w:w="2520"/>
            <w:shd w:val="clear" w:color="auto" w:fill="FEE2E2"/>
          </w:tcPr>
          <w:p>
            <w:r/>
            <w:r>
              <w:rPr>
                <w:b w:val="0"/>
                <w:color w:val="111827"/>
                <w:sz w:val="16"/>
              </w:rPr>
              <w:t>HIGH</w:t>
            </w:r>
          </w:p>
        </w:tc>
        <w:tc>
          <w:tcPr>
            <w:tcW w:type="dxa" w:w="2520"/>
          </w:tcPr>
          <w:p>
            <w:r/>
            <w:r>
              <w:rPr>
                <w:b w:val="0"/>
                <w:color w:val="111827"/>
                <w:sz w:val="16"/>
              </w:rPr>
              <w:t>Potential discrepancies in controller and route counts post-fix.</w:t>
            </w:r>
          </w:p>
        </w:tc>
        <w:tc>
          <w:tcPr>
            <w:tcW w:type="dxa" w:w="2520"/>
          </w:tcPr>
          <w:p>
            <w:r/>
            <w:r>
              <w:rPr>
                <w:b w:val="0"/>
                <w:color w:val="111827"/>
                <w:sz w:val="16"/>
              </w:rPr>
              <w:t>Implement robust logging and alerting to quickly identify and resolve issues.</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artifact://legacy_inventory/1.0/art_legacy_inventory_ffce3ffdfa174d88</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artifact://repo_landscape/1.0/art_repo_landscape_76326e5f22ad4da9</w:t>
            </w:r>
          </w:p>
        </w:tc>
      </w:tr>
      <w:tr>
        <w:tc>
          <w:tcPr>
            <w:tcW w:type="dxa" w:w="5040"/>
          </w:tcPr>
          <w:p>
            <w:r/>
            <w:r>
              <w:rPr>
                <w:b w:val="0"/>
                <w:color w:val="111827"/>
                <w:sz w:val="16"/>
              </w:rPr>
              <w:t>scope_lock_ref</w:t>
            </w:r>
          </w:p>
        </w:tc>
        <w:tc>
          <w:tcPr>
            <w:tcW w:type="dxa" w:w="5040"/>
          </w:tcPr>
          <w:p>
            <w:r/>
            <w:r>
              <w:rPr>
                <w:b w:val="0"/>
                <w:color w:val="111827"/>
                <w:sz w:val="16"/>
              </w:rPr>
              <w:t>artifact://scope_lock/1.0/art_scope_lock_f9b872cb10a64e4c</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artifact://variant_inventory/1.0/art_variant_inventory_2d20aa18e8294d14</w:t>
            </w:r>
          </w:p>
        </w:tc>
      </w:tr>
      <w:tr>
        <w:tc>
          <w:tcPr>
            <w:tcW w:type="dxa" w:w="5040"/>
          </w:tcPr>
          <w:p>
            <w:r/>
            <w:r>
              <w:rPr>
                <w:b w:val="0"/>
                <w:color w:val="111827"/>
                <w:sz w:val="16"/>
              </w:rPr>
              <w:t>event_map_ref</w:t>
            </w:r>
          </w:p>
        </w:tc>
        <w:tc>
          <w:tcPr>
            <w:tcW w:type="dxa" w:w="5040"/>
          </w:tcPr>
          <w:p>
            <w:r/>
            <w:r>
              <w:rPr>
                <w:b w:val="0"/>
                <w:color w:val="111827"/>
                <w:sz w:val="16"/>
              </w:rPr>
              <w:t>artifact://event_map/1.0/art_event_map_5452fe73484e41e1</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artifact://sql_catalog/1.0/art_sql_catalog_be9885424ec64bae</w:t>
            </w:r>
          </w:p>
        </w:tc>
      </w:tr>
      <w:tr>
        <w:tc>
          <w:tcPr>
            <w:tcW w:type="dxa" w:w="5040"/>
          </w:tcPr>
          <w:p>
            <w:r/>
            <w:r>
              <w:rPr>
                <w:b w:val="0"/>
                <w:color w:val="111827"/>
                <w:sz w:val="16"/>
              </w:rPr>
              <w:t>sql_map_ref</w:t>
            </w:r>
          </w:p>
        </w:tc>
        <w:tc>
          <w:tcPr>
            <w:tcW w:type="dxa" w:w="5040"/>
          </w:tcPr>
          <w:p>
            <w:r/>
            <w:r>
              <w:rPr>
                <w:b w:val="0"/>
                <w:color w:val="111827"/>
                <w:sz w:val="16"/>
              </w:rPr>
              <w:t>artifact://sql_map/1.0/art_sql_map_00bc2b6b34024a08</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artifact://data_access_map/1.0/art_data_access_map_f1ac8a94693c4e33</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artifact://recordset_ops/1.0/art_recordset_ops_923d801c9f1d42f0</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artifact://procedure_summary/1.0/art_procedure_summary_8fb718b32b2b4559</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artifact://form_dossier/1.0/art_form_dossier_200596a952784032</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artifact://dependency_inventory/1.0/art_dependency_inventory_2819ff772c1d4b06</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artifact://dependency_inventory/1.0/art_dependency_inventory_2819ff772c1d4b06</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artifact://business_rule_catalog/1.0/art_business_rule_catalog_0a8d222b60dd4f12</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artifact://detector_findings/1.0/art_detector_findings_932532f7996e4031</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artifact://risk_register/1.0/art_risk_register_a8bec6bfe79245aa</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artifact://orphan_analysis/1.0/art_orphan_analysis_75d6ab97f00f4524</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artifact://delivery_constitution/1.0/art_delivery_constitution_a92ca14f5b55418e</w:t>
            </w:r>
          </w:p>
        </w:tc>
      </w:tr>
      <w:tr>
        <w:tc>
          <w:tcPr>
            <w:tcW w:type="dxa" w:w="5040"/>
          </w:tcPr>
          <w:p>
            <w:r/>
            <w:r>
              <w:rPr>
                <w:b w:val="0"/>
                <w:color w:val="111827"/>
                <w:sz w:val="16"/>
              </w:rPr>
              <w:t>source_db_profile_ref</w:t>
            </w:r>
          </w:p>
        </w:tc>
        <w:tc>
          <w:tcPr>
            <w:tcW w:type="dxa" w:w="5040"/>
          </w:tcPr>
          <w:p>
            <w:r/>
            <w:r>
              <w:rPr>
                <w:b w:val="0"/>
                <w:color w:val="111827"/>
                <w:sz w:val="16"/>
              </w:rPr>
              <w:t>artifact://analyst/raw/source_db_profile/v1</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artifact://analyst/raw/source_schema_model/v1</w:t>
            </w:r>
          </w:p>
        </w:tc>
      </w:tr>
      <w:tr>
        <w:tc>
          <w:tcPr>
            <w:tcW w:type="dxa" w:w="5040"/>
          </w:tcPr>
          <w:p>
            <w:r/>
            <w:r>
              <w:rPr>
                <w:b w:val="0"/>
                <w:color w:val="111827"/>
                <w:sz w:val="16"/>
              </w:rPr>
              <w:t>source_query_catalog_ref</w:t>
            </w:r>
          </w:p>
        </w:tc>
        <w:tc>
          <w:tcPr>
            <w:tcW w:type="dxa" w:w="5040"/>
          </w:tcPr>
          <w:p>
            <w:r/>
            <w:r>
              <w:rPr>
                <w:b w:val="0"/>
                <w:color w:val="111827"/>
                <w:sz w:val="16"/>
              </w:rPr>
              <w:t>artifact://analyst/raw/source_query_catalog/v1</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artifact://analyst/raw/source_relationship_candidates/v1</w:t>
            </w:r>
          </w:p>
        </w:tc>
      </w:tr>
      <w:tr>
        <w:tc>
          <w:tcPr>
            <w:tcW w:type="dxa" w:w="5040"/>
          </w:tcPr>
          <w:p>
            <w:r/>
            <w:r>
              <w:rPr>
                <w:b w:val="0"/>
                <w:color w:val="111827"/>
                <w:sz w:val="16"/>
              </w:rPr>
              <w:t>source_data_dictionary_ref</w:t>
            </w:r>
          </w:p>
        </w:tc>
        <w:tc>
          <w:tcPr>
            <w:tcW w:type="dxa" w:w="5040"/>
          </w:tcPr>
          <w:p>
            <w:r/>
            <w:r>
              <w:rPr>
                <w:b w:val="0"/>
                <w:color w:val="111827"/>
                <w:sz w:val="16"/>
              </w:rPr>
              <w:t>artifact://analyst/raw/source_data_dictionary/v1</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artifact://analyst/raw/source_data_dictionary_markdown/v1</w:t>
            </w:r>
          </w:p>
        </w:tc>
      </w:tr>
      <w:tr>
        <w:tc>
          <w:tcPr>
            <w:tcW w:type="dxa" w:w="5040"/>
          </w:tcPr>
          <w:p>
            <w:r/>
            <w:r>
              <w:rPr>
                <w:b w:val="0"/>
                <w:color w:val="111827"/>
                <w:sz w:val="16"/>
              </w:rPr>
              <w:t>source_erd_ref</w:t>
            </w:r>
          </w:p>
        </w:tc>
        <w:tc>
          <w:tcPr>
            <w:tcW w:type="dxa" w:w="5040"/>
          </w:tcPr>
          <w:p>
            <w:r/>
            <w:r>
              <w:rPr>
                <w:b w:val="0"/>
                <w:color w:val="111827"/>
                <w:sz w:val="16"/>
              </w:rPr>
              <w:t>artifact://analyst/raw/source_erd/v1</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artifact://analyst/raw/source_hotspot_report/v1</w:t>
            </w:r>
          </w:p>
        </w:tc>
      </w:tr>
      <w:tr>
        <w:tc>
          <w:tcPr>
            <w:tcW w:type="dxa" w:w="5040"/>
          </w:tcPr>
          <w:p>
            <w:r/>
            <w:r>
              <w:rPr>
                <w:b w:val="0"/>
                <w:color w:val="111827"/>
                <w:sz w:val="16"/>
              </w:rPr>
              <w:t>target_schema_model_ref</w:t>
            </w:r>
          </w:p>
        </w:tc>
        <w:tc>
          <w:tcPr>
            <w:tcW w:type="dxa" w:w="5040"/>
          </w:tcPr>
          <w:p>
            <w:r/>
            <w:r>
              <w:rPr>
                <w:b w:val="0"/>
                <w:color w:val="111827"/>
                <w:sz w:val="16"/>
              </w:rPr>
              <w:t>artifact://analyst/raw/target_schema_model/v1</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artifact://analyst/raw/target_erd/v1</w:t>
            </w:r>
          </w:p>
        </w:tc>
      </w:tr>
      <w:tr>
        <w:tc>
          <w:tcPr>
            <w:tcW w:type="dxa" w:w="5040"/>
          </w:tcPr>
          <w:p>
            <w:r/>
            <w:r>
              <w:rPr>
                <w:b w:val="0"/>
                <w:color w:val="111827"/>
                <w:sz w:val="16"/>
              </w:rPr>
              <w:t>target_data_dictionary_ref</w:t>
            </w:r>
          </w:p>
        </w:tc>
        <w:tc>
          <w:tcPr>
            <w:tcW w:type="dxa" w:w="5040"/>
          </w:tcPr>
          <w:p>
            <w:r/>
            <w:r>
              <w:rPr>
                <w:b w:val="0"/>
                <w:color w:val="111827"/>
                <w:sz w:val="16"/>
              </w:rPr>
              <w:t>artifact://analyst/raw/target_data_dictionary/v1</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artifact://analyst/raw/schema_mapping_matrix/v1</w:t>
            </w:r>
          </w:p>
        </w:tc>
      </w:tr>
      <w:tr>
        <w:tc>
          <w:tcPr>
            <w:tcW w:type="dxa" w:w="5040"/>
          </w:tcPr>
          <w:p>
            <w:r/>
            <w:r>
              <w:rPr>
                <w:b w:val="0"/>
                <w:color w:val="111827"/>
                <w:sz w:val="16"/>
              </w:rPr>
              <w:t>migration_plan_ref</w:t>
            </w:r>
          </w:p>
        </w:tc>
        <w:tc>
          <w:tcPr>
            <w:tcW w:type="dxa" w:w="5040"/>
          </w:tcPr>
          <w:p>
            <w:r/>
            <w:r>
              <w:rPr>
                <w:b w:val="0"/>
                <w:color w:val="111827"/>
                <w:sz w:val="16"/>
              </w:rPr>
              <w:t>artifact://analyst/raw/migration_plan/v1</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artifact://analyst/raw/validation_harness_spec/v1</w:t>
            </w:r>
          </w:p>
        </w:tc>
      </w:tr>
      <w:tr>
        <w:tc>
          <w:tcPr>
            <w:tcW w:type="dxa" w:w="5040"/>
          </w:tcPr>
          <w:p>
            <w:r/>
            <w:r>
              <w:rPr>
                <w:b w:val="0"/>
                <w:color w:val="111827"/>
                <w:sz w:val="16"/>
              </w:rPr>
              <w:t>db_qa_report_ref</w:t>
            </w:r>
          </w:p>
        </w:tc>
        <w:tc>
          <w:tcPr>
            <w:tcW w:type="dxa" w:w="5040"/>
          </w:tcPr>
          <w:p>
            <w:r/>
            <w:r>
              <w:rPr>
                <w:b w:val="0"/>
                <w:color w:val="111827"/>
                <w:sz w:val="16"/>
              </w:rPr>
              <w:t>artifact://analyst/raw/db_qa_report/v1</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artifact://analyst/raw/schema_approval_record/v1</w:t>
            </w:r>
          </w:p>
        </w:tc>
      </w:tr>
      <w:tr>
        <w:tc>
          <w:tcPr>
            <w:tcW w:type="dxa" w:w="5040"/>
          </w:tcPr>
          <w:p>
            <w:r/>
            <w:r>
              <w:rPr>
                <w:b w:val="0"/>
                <w:color w:val="111827"/>
                <w:sz w:val="16"/>
              </w:rPr>
              <w:t>schema_drift_report_ref</w:t>
            </w:r>
          </w:p>
        </w:tc>
        <w:tc>
          <w:tcPr>
            <w:tcW w:type="dxa" w:w="5040"/>
          </w:tcPr>
          <w:p>
            <w:r/>
            <w:r>
              <w:rPr>
                <w:b w:val="0"/>
                <w:color w:val="111827"/>
                <w:sz w:val="16"/>
              </w:rPr>
              <w:t>artifact://analyst/raw/schema_drift_report/v1</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artifact://variant_diff_report/1.0/art_variant_diff_report_8e25ce317f7e4351</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artifact://reporting_model/1.0/art_reporting_model_4131135f38b84f00</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artifact://identity_access_model/1.0/art_identity_access_model_401c847aa45a4c49</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artifact://discover_review_checklist/1.0/art_discover_review_checklist_e91a6c32196048c4</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artifact://artifact_index/1.0/art_artifact_index_479c4915634a4c6e</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runctx://runctx-e8d4075283aed68f/kctx-6c852fcceab50a55</w:t>
            </w:r>
          </w:p>
        </w:tc>
      </w:tr>
      <w:tr>
        <w:tc>
          <w:tcPr>
            <w:tcW w:type="dxa" w:w="5040"/>
          </w:tcPr>
          <w:p>
            <w:r/>
            <w:r>
              <w:rPr>
                <w:b w:val="0"/>
                <w:color w:val="111827"/>
                <w:sz w:val="16"/>
              </w:rPr>
              <w:t>run_delivery_constitution_ref</w:t>
            </w:r>
          </w:p>
        </w:tc>
        <w:tc>
          <w:tcPr>
            <w:tcW w:type="dxa" w:w="5040"/>
          </w:tcPr>
          <w:p>
            <w:r/>
            <w:r>
              <w:rPr>
                <w:b w:val="0"/>
                <w:color w:val="111827"/>
                <w:sz w:val="16"/>
              </w:rPr>
              <w:t>runctx://runctx-e8d4075283aed68f/delivery_constitution/const-c74c8c50fa61</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