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Chirp API Modernization Workbook</w:t>
            </w:r>
          </w:p>
        </w:tc>
      </w:tr>
    </w:tbl>
    <w:p>
      <w:r>
        <w:rPr>
          <w:b/>
          <w:color w:val="1F6B75"/>
          <w:sz w:val="26"/>
        </w:rPr>
        <w:t>Chirp API Modernization</w:t>
      </w:r>
    </w:p>
    <w:p>
      <w:r>
        <w:rPr>
          <w:b w:val="0"/>
          <w:color w:val="111827"/>
          <w:sz w:val="20"/>
        </w:rPr>
        <w:t>Validating the transition from Kotlin Spring to Go with a focus on service architecture.</w:t>
      </w:r>
    </w:p>
    <w:p>
      <w:r>
        <w:rPr>
          <w:b w:val="0"/>
          <w:color w:val="6B7280"/>
          <w:sz w:val="18"/>
        </w:rPr>
        <w:t>Run 20260513_232936_fbdc4c7d  ·  Generated 2026-05-13T23:30:41.188307+00:00  ·  Repo https://github.com/philipplackner/chirp-api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Chirp API modernization project, focusing on transitioning to Go.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validate the modernization of a Kotlin Spring application to Go, ensuring the architecture results in 3-5 services and produces a multi-package Go output.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+ remediation recommended.</w:t>
      </w:r>
    </w:p>
    <w:p>
      <w:r>
        <w:rPr>
          <w:b w:val="0"/>
          <w:color w:val="111827"/>
          <w:sz w:val="20"/>
        </w:rPr>
        <w:t>The Chirp API Modernization project aims to transition a Kotlin Spring application to Go, ensuring the architecture results in 3-5 distinct services. This transition is crucial for optimizing performance and scalability. The project involves a comprehensive strategy that includes baseline capture, incremental migration, and final hardening. The readiness score is currently at 0, indicating a high-risk tier, necessitating careful planning and execution. The strategy involves a full upgrade with remediation, leveraging controlled translation and equivalence testing to ensure a seamless transition.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Kotlin Spring app to Go with 3-5 services.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0; risk tier is high.</w:t>
      </w:r>
    </w:p>
    <w:p>
      <w:pPr>
        <w:pStyle w:val="ListParagraph"/>
      </w:pPr>
      <w:r>
        <w:rPr>
          <w:b w:val="0"/>
          <w:color w:val="111827"/>
          <w:sz w:val="18"/>
        </w:rPr>
        <w:t>- Strategy: Full upgrade with remediation and equivalence testing.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 capture,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Key dependencies include JWT, PostgreSQL, and Nginx.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due to readiness score of 0.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 + remediation: </w:t>
      </w:r>
      <w:r>
        <w:rPr>
          <w:b w:val="0"/>
          <w:color w:val="111827"/>
          <w:sz w:val="20"/>
        </w:rPr>
        <w:t>Readiness is relatively high; controlled translation with remediation and equivalence testing is viable.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(2/3)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pass=13, warn=3,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pass=13, warn=3,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5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total=5532, forms=0, modules=0, classes=0, profile_forms=0, profile_designer=0.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14 DB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current dependencies including JWT, PostgreSQL, and Nginx.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Details on forms and modules involved in the migration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chat/src/main/kotlin/com/plcoding/chirp/service/ChatService.kt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Balance is recalculated using the entered amount and current account value.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chat/src/main/kotlin/com/plcoding/chirp/service/ChatService.kt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Balance is recalculated using the entered amount and current account value.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BR-003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chat/src/main/kotlin/com/plcoding/chirp/service/ChatService.kt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Balance is recalculated using the entered amount and current account value.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BR-004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gradle/wrapper/gradle-wrapper.properties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Balance is recalculated using the entered amount and current account value.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gradle/wrapper/gradle-wrapper.properties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Balance is recalculated using the entered amount and current account value.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analysis of golden flows and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throughout the migration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sprints for incremental migration and dependency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backup and validation processes.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Increased latency due to service decomposition.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Optimize inter-service communication and use efficient protocols.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Security vulnerabilities during transition.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regular security audits and implement best practices.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artifact://legacy_inventory/1.0/art_legacy_inventory_a5f3543356834f9d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artifact://repo_landscape/1.0/art_repo_landscape_79ec525f44c4452a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artifact://scope_lock/1.0/art_scope_lock_47da388b650544c3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artifact://variant_inventory/1.0/art_variant_inventory_5e450d8745074301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artifact://event_map/1.0/art_event_map_a606ba0c867643a7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artifact://sql_catalog/1.0/art_sql_catalog_d5bf67e8ca864df9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artifact://sql_map/1.0/art_sql_map_cd41b534c5364dd5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artifact://data_access_map/1.0/art_data_access_map_2d8e62e9269c4676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artifact://recordset_ops/1.0/art_recordset_ops_b8d4864a12524fdc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artifact://procedure_summary/1.0/art_procedure_summary_b1b6714b98814532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artifact://form_dossier/1.0/art_form_dossier_9ef8cd93a783447a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artifact://dependency_inventory/1.0/art_dependency_inventory_c53ee7ca47b946c7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artifact://dependency_inventory/1.0/art_dependency_inventory_c53ee7ca47b946c7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artifact://business_rule_catalog/1.0/art_business_rule_catalog_636ec8bfc5af46e4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artifact://detector_findings/1.0/art_detector_findings_0a0c511d6d8f46f6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artifact://risk_register/1.0/art_risk_register_33b4b63706384b78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artifact://orphan_analysis/1.0/art_orphan_analysis_f85cc66c95df49e7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artifact://delivery_constitution/1.0/art_delivery_constitution_a3c8452229374bc2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artifact://source_db_profile/1.0/art_source_db_profile_00dc3adb56ba468a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artifact://source_schema_model/1.0/art_source_schema_model_8ae21526cdbe43ab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artifact://source_query_catalog/1.0/art_source_query_catalog_62846d93b0a14ee2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artifact://source_relationship_candidates/1.0/art_source_relationship_candidates_11f4ce8c9c6f4a9d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artifact://source_data_dictionary/1.0/art_source_data_dictionary_42659a4ed6844f4e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artifact://source_data_dictionary_markdown/1.0/art_source_data_dictionary_markdown_ad4b3939bd384850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artifact://source_erd/1.0/art_source_erd_2d9ef15e16034845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artifact://source_hotspot_report/1.0/art_source_hotspot_report_0991978c174f4c08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artifact://target_schema_model/1.0/art_target_schema_model_de4db48f338d41e3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artifact://target_erd/1.0/art_target_erd_6edb07ed0b2f4fe1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artifact://target_data_dictionary/1.0/art_target_data_dictionary_da234b02df77465f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artifact://schema_mapping_matrix/1.0/art_schema_mapping_matrix_1b70a7c835ab4982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artifact://migration_plan/1.0/art_migration_plan_b0408f2fcddf4e1b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artifact://validation_harness_spec/1.0/art_validation_harness_spec_d654aa70151044ed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artifact://db_qa_report/1.0/art_db_qa_report_8aa62e05c9024dd7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artifact://schema_approval_record/1.0/art_schema_approval_record_cfb69cc75ce849ad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artifact://schema_drift_report/1.0/art_schema_drift_report_3cf0058be9f64c70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artifact://variant_diff_report/1.0/art_variant_diff_report_fd5f869fbd504148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artifact://reporting_model/1.0/art_reporting_model_ddd99a55dad14269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artifact://identity_access_model/1.0/art_identity_access_model_0fc6eb390d6f47cd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artifact://discover_review_checklist/1.0/art_discover_review_checklist_2c16e09892bf4c1e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artifact://artifact_index/1.0/art_artifact_index_37fc3cf53ce54a68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runctx://runctx-b3d184a1bbd06015/kctx-15b3c2bc8c946c76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runctx://runctx-b3d184a1bbd06015/delivery_constitution/const-d02b79727b31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